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F2" w:rsidRDefault="00D11FF2">
      <w:pPr>
        <w:rPr>
          <w:rFonts w:asciiTheme="majorHAnsi" w:hAnsiTheme="majorHAnsi"/>
        </w:rPr>
      </w:pPr>
    </w:p>
    <w:p w:rsidR="00667AEF" w:rsidRPr="00E245A4" w:rsidRDefault="00E245A4" w:rsidP="00E245A4">
      <w:pPr>
        <w:jc w:val="center"/>
        <w:rPr>
          <w:rFonts w:asciiTheme="majorHAnsi" w:hAnsiTheme="majorHAnsi"/>
          <w:b/>
          <w:sz w:val="28"/>
          <w:szCs w:val="28"/>
        </w:rPr>
      </w:pPr>
      <w:r w:rsidRPr="00E245A4">
        <w:rPr>
          <w:rFonts w:asciiTheme="majorHAnsi" w:hAnsiTheme="majorHAnsi"/>
          <w:b/>
          <w:sz w:val="28"/>
          <w:szCs w:val="28"/>
        </w:rPr>
        <w:t>Energy Efficiency Rolling Portfolio Business Plan Guidance</w:t>
      </w:r>
    </w:p>
    <w:p w:rsidR="00E245A4" w:rsidRDefault="00E245A4">
      <w:pPr>
        <w:rPr>
          <w:rFonts w:asciiTheme="majorHAnsi" w:hAnsiTheme="majorHAnsi"/>
        </w:rPr>
      </w:pPr>
    </w:p>
    <w:p w:rsidR="00E245A4" w:rsidRDefault="00E245A4">
      <w:pPr>
        <w:rPr>
          <w:rFonts w:asciiTheme="majorHAnsi" w:hAnsiTheme="majorHAnsi"/>
        </w:rPr>
      </w:pPr>
    </w:p>
    <w:p w:rsidR="008567C5" w:rsidRPr="00114CFE" w:rsidRDefault="005D7C68">
      <w:pPr>
        <w:rPr>
          <w:rFonts w:asciiTheme="majorHAnsi" w:hAnsiTheme="majorHAnsi"/>
        </w:rPr>
      </w:pPr>
      <w:r>
        <w:rPr>
          <w:rFonts w:asciiTheme="majorHAnsi" w:hAnsiTheme="majorHAnsi"/>
        </w:rPr>
        <w:t>T</w:t>
      </w:r>
      <w:r w:rsidR="008567C5" w:rsidRPr="00114CFE">
        <w:rPr>
          <w:rFonts w:asciiTheme="majorHAnsi" w:hAnsiTheme="majorHAnsi"/>
        </w:rPr>
        <w:t>he Rolling Portfolio process</w:t>
      </w:r>
      <w:r>
        <w:rPr>
          <w:rFonts w:asciiTheme="majorHAnsi" w:hAnsiTheme="majorHAnsi"/>
        </w:rPr>
        <w:t xml:space="preserve"> adopted in </w:t>
      </w:r>
      <w:r w:rsidRPr="00114CFE">
        <w:rPr>
          <w:rFonts w:asciiTheme="majorHAnsi" w:hAnsiTheme="majorHAnsi"/>
        </w:rPr>
        <w:t>Decision 15-10-028</w:t>
      </w:r>
      <w:r>
        <w:rPr>
          <w:rFonts w:asciiTheme="majorHAnsi" w:hAnsiTheme="majorHAnsi"/>
        </w:rPr>
        <w:t xml:space="preserve"> directs Program Administrators </w:t>
      </w:r>
      <w:r w:rsidR="005116A1">
        <w:rPr>
          <w:rFonts w:asciiTheme="majorHAnsi" w:hAnsiTheme="majorHAnsi"/>
        </w:rPr>
        <w:t xml:space="preserve">(PAs) </w:t>
      </w:r>
      <w:r>
        <w:rPr>
          <w:rFonts w:asciiTheme="majorHAnsi" w:hAnsiTheme="majorHAnsi"/>
        </w:rPr>
        <w:t xml:space="preserve">to submit </w:t>
      </w:r>
      <w:r w:rsidR="008567C5" w:rsidRPr="00114CFE">
        <w:rPr>
          <w:rFonts w:asciiTheme="majorHAnsi" w:hAnsiTheme="majorHAnsi"/>
        </w:rPr>
        <w:t>high level document</w:t>
      </w:r>
      <w:r>
        <w:rPr>
          <w:rFonts w:asciiTheme="majorHAnsi" w:hAnsiTheme="majorHAnsi"/>
        </w:rPr>
        <w:t>s (</w:t>
      </w:r>
      <w:r w:rsidRPr="007A1A24">
        <w:rPr>
          <w:rFonts w:asciiTheme="majorHAnsi" w:hAnsiTheme="majorHAnsi"/>
          <w:b/>
        </w:rPr>
        <w:t>Business Plans</w:t>
      </w:r>
      <w:r>
        <w:rPr>
          <w:rFonts w:asciiTheme="majorHAnsi" w:hAnsiTheme="majorHAnsi"/>
        </w:rPr>
        <w:t xml:space="preserve">) </w:t>
      </w:r>
      <w:r w:rsidR="008567C5" w:rsidRPr="00114CFE">
        <w:rPr>
          <w:rFonts w:asciiTheme="majorHAnsi" w:hAnsiTheme="majorHAnsi"/>
        </w:rPr>
        <w:t xml:space="preserve">that </w:t>
      </w:r>
      <w:r>
        <w:rPr>
          <w:rFonts w:asciiTheme="majorHAnsi" w:hAnsiTheme="majorHAnsi"/>
        </w:rPr>
        <w:t>describe</w:t>
      </w:r>
      <w:r w:rsidR="008567C5" w:rsidRPr="00114CFE">
        <w:rPr>
          <w:rFonts w:asciiTheme="majorHAnsi" w:hAnsiTheme="majorHAnsi"/>
        </w:rPr>
        <w:t xml:space="preserve"> how </w:t>
      </w:r>
      <w:r w:rsidR="005116A1">
        <w:rPr>
          <w:rFonts w:asciiTheme="majorHAnsi" w:hAnsiTheme="majorHAnsi"/>
        </w:rPr>
        <w:t>PAs</w:t>
      </w:r>
      <w:r w:rsidR="008567C5" w:rsidRPr="00114CFE">
        <w:rPr>
          <w:rFonts w:asciiTheme="majorHAnsi" w:hAnsiTheme="majorHAnsi"/>
        </w:rPr>
        <w:t xml:space="preserve"> will achieve </w:t>
      </w:r>
      <w:r>
        <w:rPr>
          <w:rFonts w:asciiTheme="majorHAnsi" w:hAnsiTheme="majorHAnsi"/>
        </w:rPr>
        <w:t>portfolio</w:t>
      </w:r>
      <w:r w:rsidR="008567C5" w:rsidRPr="00114CFE">
        <w:rPr>
          <w:rFonts w:asciiTheme="majorHAnsi" w:hAnsiTheme="majorHAnsi"/>
        </w:rPr>
        <w:t xml:space="preserve"> goals.  </w:t>
      </w:r>
      <w:r w:rsidR="005116A1">
        <w:rPr>
          <w:rFonts w:asciiTheme="majorHAnsi" w:hAnsiTheme="majorHAnsi"/>
        </w:rPr>
        <w:t>I</w:t>
      </w:r>
      <w:r>
        <w:rPr>
          <w:rFonts w:asciiTheme="majorHAnsi" w:hAnsiTheme="majorHAnsi"/>
        </w:rPr>
        <w:t>nitial</w:t>
      </w:r>
      <w:r w:rsidR="008567C5" w:rsidRPr="00114CFE">
        <w:rPr>
          <w:rFonts w:asciiTheme="majorHAnsi" w:hAnsiTheme="majorHAnsi"/>
        </w:rPr>
        <w:t xml:space="preserve"> Business </w:t>
      </w:r>
      <w:r w:rsidR="00ED4F2D">
        <w:rPr>
          <w:rFonts w:asciiTheme="majorHAnsi" w:hAnsiTheme="majorHAnsi"/>
        </w:rPr>
        <w:t>P</w:t>
      </w:r>
      <w:r w:rsidR="008567C5" w:rsidRPr="00114CFE">
        <w:rPr>
          <w:rFonts w:asciiTheme="majorHAnsi" w:hAnsiTheme="majorHAnsi"/>
        </w:rPr>
        <w:t xml:space="preserve">lans </w:t>
      </w:r>
      <w:r w:rsidR="00563B31">
        <w:rPr>
          <w:rFonts w:asciiTheme="majorHAnsi" w:hAnsiTheme="majorHAnsi"/>
        </w:rPr>
        <w:t>are scheduled</w:t>
      </w:r>
      <w:r w:rsidR="00A25C87">
        <w:rPr>
          <w:rFonts w:asciiTheme="majorHAnsi" w:hAnsiTheme="majorHAnsi"/>
        </w:rPr>
        <w:t xml:space="preserve"> to be</w:t>
      </w:r>
      <w:r w:rsidR="008567C5" w:rsidRPr="00114CFE">
        <w:rPr>
          <w:rFonts w:asciiTheme="majorHAnsi" w:hAnsiTheme="majorHAnsi"/>
        </w:rPr>
        <w:t xml:space="preserve"> filed in September 2016</w:t>
      </w:r>
      <w:r w:rsidR="00A47D6D">
        <w:rPr>
          <w:rFonts w:asciiTheme="majorHAnsi" w:hAnsiTheme="majorHAnsi"/>
        </w:rPr>
        <w:t xml:space="preserve">. </w:t>
      </w:r>
      <w:r w:rsidR="005116A1">
        <w:rPr>
          <w:rFonts w:asciiTheme="majorHAnsi" w:hAnsiTheme="majorHAnsi"/>
        </w:rPr>
        <w:t xml:space="preserve"> PAs may submit updated Business Plans at any time</w:t>
      </w:r>
      <w:r w:rsidR="00A47D6D">
        <w:rPr>
          <w:rFonts w:asciiTheme="majorHAnsi" w:hAnsiTheme="majorHAnsi"/>
        </w:rPr>
        <w:t xml:space="preserve">; additionally, </w:t>
      </w:r>
      <w:r w:rsidR="005116A1">
        <w:rPr>
          <w:rFonts w:asciiTheme="majorHAnsi" w:hAnsiTheme="majorHAnsi"/>
        </w:rPr>
        <w:t>the Plans</w:t>
      </w:r>
      <w:r>
        <w:rPr>
          <w:rFonts w:asciiTheme="majorHAnsi" w:hAnsiTheme="majorHAnsi"/>
        </w:rPr>
        <w:t xml:space="preserve"> </w:t>
      </w:r>
      <w:r w:rsidR="008567C5" w:rsidRPr="00114CFE">
        <w:rPr>
          <w:rFonts w:asciiTheme="majorHAnsi" w:hAnsiTheme="majorHAnsi"/>
        </w:rPr>
        <w:t xml:space="preserve">must be revised in response </w:t>
      </w:r>
      <w:r>
        <w:rPr>
          <w:rFonts w:asciiTheme="majorHAnsi" w:hAnsiTheme="majorHAnsi"/>
        </w:rPr>
        <w:t>to the following</w:t>
      </w:r>
      <w:r w:rsidR="008567C5" w:rsidRPr="00114CFE">
        <w:rPr>
          <w:rFonts w:asciiTheme="majorHAnsi" w:hAnsiTheme="majorHAnsi"/>
        </w:rPr>
        <w:t xml:space="preserve"> “trigger” event</w:t>
      </w:r>
      <w:r w:rsidR="00A25C87">
        <w:rPr>
          <w:rFonts w:asciiTheme="majorHAnsi" w:hAnsiTheme="majorHAnsi"/>
        </w:rPr>
        <w:t>s</w:t>
      </w:r>
      <w:r w:rsidR="008567C5" w:rsidRPr="00114CFE">
        <w:rPr>
          <w:rFonts w:asciiTheme="majorHAnsi" w:hAnsiTheme="majorHAnsi"/>
        </w:rPr>
        <w:t>:</w:t>
      </w:r>
    </w:p>
    <w:p w:rsidR="008567C5" w:rsidRPr="00114CFE" w:rsidRDefault="008567C5">
      <w:pPr>
        <w:rPr>
          <w:rFonts w:asciiTheme="majorHAnsi" w:hAnsiTheme="majorHAnsi"/>
        </w:rPr>
      </w:pPr>
    </w:p>
    <w:p w:rsidR="00156EBD" w:rsidRPr="00114CFE" w:rsidRDefault="00A25C87" w:rsidP="008567C5">
      <w:pPr>
        <w:pStyle w:val="ListParagraph"/>
        <w:numPr>
          <w:ilvl w:val="0"/>
          <w:numId w:val="1"/>
        </w:numPr>
        <w:rPr>
          <w:rFonts w:asciiTheme="majorHAnsi" w:hAnsiTheme="majorHAnsi"/>
        </w:rPr>
      </w:pPr>
      <w:r>
        <w:rPr>
          <w:rFonts w:asciiTheme="majorHAnsi" w:hAnsiTheme="majorHAnsi"/>
        </w:rPr>
        <w:t>A</w:t>
      </w:r>
      <w:r w:rsidR="008567C5" w:rsidRPr="00114CFE">
        <w:rPr>
          <w:rFonts w:asciiTheme="majorHAnsi" w:hAnsiTheme="majorHAnsi"/>
        </w:rPr>
        <w:t xml:space="preserve">n inability to meet savings goals; stay within the budget parameters of the most recent and prior </w:t>
      </w:r>
      <w:r w:rsidR="000E38B4">
        <w:rPr>
          <w:rFonts w:asciiTheme="majorHAnsi" w:hAnsiTheme="majorHAnsi"/>
        </w:rPr>
        <w:t>B</w:t>
      </w:r>
      <w:r w:rsidR="008567C5" w:rsidRPr="00114CFE">
        <w:rPr>
          <w:rFonts w:asciiTheme="majorHAnsi" w:hAnsiTheme="majorHAnsi"/>
        </w:rPr>
        <w:t xml:space="preserve">usiness </w:t>
      </w:r>
      <w:r w:rsidR="000E38B4">
        <w:rPr>
          <w:rFonts w:asciiTheme="majorHAnsi" w:hAnsiTheme="majorHAnsi"/>
        </w:rPr>
        <w:t>P</w:t>
      </w:r>
      <w:r w:rsidR="008567C5" w:rsidRPr="00114CFE">
        <w:rPr>
          <w:rFonts w:asciiTheme="majorHAnsi" w:hAnsiTheme="majorHAnsi"/>
        </w:rPr>
        <w:t xml:space="preserve">lan; </w:t>
      </w:r>
      <w:r w:rsidR="00A47D6D">
        <w:rPr>
          <w:rFonts w:asciiTheme="majorHAnsi" w:hAnsiTheme="majorHAnsi"/>
        </w:rPr>
        <w:t xml:space="preserve">or </w:t>
      </w:r>
      <w:r w:rsidR="008567C5" w:rsidRPr="00114CFE">
        <w:rPr>
          <w:rFonts w:asciiTheme="majorHAnsi" w:hAnsiTheme="majorHAnsi"/>
        </w:rPr>
        <w:t>meet Commission established cost effectiveness</w:t>
      </w:r>
      <w:r w:rsidR="00A47D6D">
        <w:rPr>
          <w:rFonts w:asciiTheme="majorHAnsi" w:hAnsiTheme="majorHAnsi"/>
        </w:rPr>
        <w:t xml:space="preserve"> metrics</w:t>
      </w:r>
      <w:r w:rsidR="008567C5" w:rsidRPr="00114CFE">
        <w:rPr>
          <w:rFonts w:asciiTheme="majorHAnsi" w:hAnsiTheme="majorHAnsi"/>
        </w:rPr>
        <w:t xml:space="preserve"> (excluding Codes and Standards and </w:t>
      </w:r>
      <w:r w:rsidR="00A47D6D">
        <w:rPr>
          <w:rFonts w:asciiTheme="majorHAnsi" w:hAnsiTheme="majorHAnsi"/>
        </w:rPr>
        <w:t>“</w:t>
      </w:r>
      <w:r w:rsidR="008567C5" w:rsidRPr="00114CFE">
        <w:rPr>
          <w:rFonts w:asciiTheme="majorHAnsi" w:hAnsiTheme="majorHAnsi"/>
        </w:rPr>
        <w:t>spillover</w:t>
      </w:r>
      <w:r w:rsidR="00A47D6D">
        <w:rPr>
          <w:rFonts w:asciiTheme="majorHAnsi" w:hAnsiTheme="majorHAnsi"/>
        </w:rPr>
        <w:t>”</w:t>
      </w:r>
      <w:r w:rsidR="008567C5" w:rsidRPr="00114CFE">
        <w:rPr>
          <w:rFonts w:asciiTheme="majorHAnsi" w:hAnsiTheme="majorHAnsi"/>
        </w:rPr>
        <w:t xml:space="preserve"> adjustments</w:t>
      </w:r>
      <w:r w:rsidR="00B913A3">
        <w:rPr>
          <w:rFonts w:asciiTheme="majorHAnsi" w:hAnsiTheme="majorHAnsi"/>
        </w:rPr>
        <w:t>)</w:t>
      </w:r>
      <w:r w:rsidR="000E38B4">
        <w:rPr>
          <w:rFonts w:asciiTheme="majorHAnsi" w:hAnsiTheme="majorHAnsi"/>
        </w:rPr>
        <w:t>;</w:t>
      </w:r>
      <w:r w:rsidR="008567C5" w:rsidRPr="00114CFE">
        <w:rPr>
          <w:rFonts w:asciiTheme="majorHAnsi" w:hAnsiTheme="majorHAnsi"/>
        </w:rPr>
        <w:t xml:space="preserve"> </w:t>
      </w:r>
    </w:p>
    <w:p w:rsidR="008567C5" w:rsidRPr="00114CFE" w:rsidRDefault="00A25C87" w:rsidP="008567C5">
      <w:pPr>
        <w:pStyle w:val="ListParagraph"/>
        <w:numPr>
          <w:ilvl w:val="0"/>
          <w:numId w:val="1"/>
        </w:numPr>
        <w:rPr>
          <w:rFonts w:asciiTheme="majorHAnsi" w:hAnsiTheme="majorHAnsi"/>
        </w:rPr>
      </w:pPr>
      <w:r>
        <w:rPr>
          <w:rFonts w:asciiTheme="majorHAnsi" w:hAnsiTheme="majorHAnsi"/>
        </w:rPr>
        <w:t xml:space="preserve">The </w:t>
      </w:r>
      <w:r w:rsidR="0030056C">
        <w:rPr>
          <w:rFonts w:asciiTheme="majorHAnsi" w:hAnsiTheme="majorHAnsi"/>
        </w:rPr>
        <w:t>filing</w:t>
      </w:r>
      <w:r>
        <w:rPr>
          <w:rFonts w:asciiTheme="majorHAnsi" w:hAnsiTheme="majorHAnsi"/>
        </w:rPr>
        <w:t xml:space="preserve"> of</w:t>
      </w:r>
      <w:r w:rsidR="008567C5" w:rsidRPr="00114CFE">
        <w:rPr>
          <w:rFonts w:asciiTheme="majorHAnsi" w:hAnsiTheme="majorHAnsi"/>
        </w:rPr>
        <w:t xml:space="preserve"> a new application as a result of a policy track decision in the proceeding</w:t>
      </w:r>
      <w:r w:rsidR="000E38B4">
        <w:rPr>
          <w:rFonts w:asciiTheme="majorHAnsi" w:hAnsiTheme="majorHAnsi"/>
        </w:rPr>
        <w:t xml:space="preserve">; </w:t>
      </w:r>
      <w:r w:rsidR="005D7C68">
        <w:rPr>
          <w:rFonts w:asciiTheme="majorHAnsi" w:hAnsiTheme="majorHAnsi"/>
        </w:rPr>
        <w:t>or</w:t>
      </w:r>
    </w:p>
    <w:p w:rsidR="008567C5" w:rsidRPr="00114CFE" w:rsidRDefault="00A25C87" w:rsidP="008567C5">
      <w:pPr>
        <w:pStyle w:val="ListParagraph"/>
        <w:numPr>
          <w:ilvl w:val="0"/>
          <w:numId w:val="1"/>
        </w:numPr>
        <w:rPr>
          <w:rFonts w:asciiTheme="majorHAnsi" w:hAnsiTheme="majorHAnsi"/>
        </w:rPr>
      </w:pPr>
      <w:r>
        <w:rPr>
          <w:rFonts w:asciiTheme="majorHAnsi" w:hAnsiTheme="majorHAnsi"/>
        </w:rPr>
        <w:t>T</w:t>
      </w:r>
      <w:r w:rsidR="008567C5" w:rsidRPr="00114CFE">
        <w:rPr>
          <w:rFonts w:asciiTheme="majorHAnsi" w:hAnsiTheme="majorHAnsi"/>
        </w:rPr>
        <w:t>he imminent onset of the final year of funding</w:t>
      </w:r>
      <w:r w:rsidR="000E38B4">
        <w:rPr>
          <w:rFonts w:asciiTheme="majorHAnsi" w:hAnsiTheme="majorHAnsi"/>
        </w:rPr>
        <w:t>.</w:t>
      </w:r>
      <w:r w:rsidR="008567C5" w:rsidRPr="00114CFE">
        <w:rPr>
          <w:rStyle w:val="FootnoteReference"/>
          <w:rFonts w:asciiTheme="majorHAnsi" w:hAnsiTheme="majorHAnsi"/>
        </w:rPr>
        <w:footnoteReference w:id="1"/>
      </w:r>
    </w:p>
    <w:p w:rsidR="00647E92" w:rsidRPr="00F81B00" w:rsidRDefault="00647E92" w:rsidP="00F81B00">
      <w:pPr>
        <w:rPr>
          <w:rFonts w:asciiTheme="majorHAnsi" w:hAnsiTheme="majorHAnsi"/>
        </w:rPr>
      </w:pPr>
    </w:p>
    <w:p w:rsidR="00156EBD" w:rsidRPr="00114CFE" w:rsidRDefault="006C2C61">
      <w:pPr>
        <w:rPr>
          <w:rFonts w:asciiTheme="majorHAnsi" w:hAnsiTheme="majorHAnsi"/>
        </w:rPr>
      </w:pPr>
      <w:r>
        <w:rPr>
          <w:rFonts w:asciiTheme="majorHAnsi" w:hAnsiTheme="majorHAnsi"/>
        </w:rPr>
        <w:t xml:space="preserve">The Commission also conceived of </w:t>
      </w:r>
      <w:r w:rsidR="001F6591">
        <w:rPr>
          <w:rFonts w:asciiTheme="majorHAnsi" w:hAnsiTheme="majorHAnsi"/>
          <w:b/>
        </w:rPr>
        <w:t>I</w:t>
      </w:r>
      <w:r w:rsidRPr="007A1A24">
        <w:rPr>
          <w:rFonts w:asciiTheme="majorHAnsi" w:hAnsiTheme="majorHAnsi"/>
          <w:b/>
        </w:rPr>
        <w:t xml:space="preserve">mplementation </w:t>
      </w:r>
      <w:r w:rsidR="001F6591">
        <w:rPr>
          <w:rFonts w:asciiTheme="majorHAnsi" w:hAnsiTheme="majorHAnsi"/>
          <w:b/>
        </w:rPr>
        <w:t>P</w:t>
      </w:r>
      <w:r w:rsidRPr="007A1A24">
        <w:rPr>
          <w:rFonts w:asciiTheme="majorHAnsi" w:hAnsiTheme="majorHAnsi"/>
          <w:b/>
        </w:rPr>
        <w:t>lans</w:t>
      </w:r>
      <w:r>
        <w:rPr>
          <w:rFonts w:asciiTheme="majorHAnsi" w:hAnsiTheme="majorHAnsi"/>
        </w:rPr>
        <w:t xml:space="preserve"> that would</w:t>
      </w:r>
      <w:r w:rsidR="00563B31">
        <w:rPr>
          <w:rFonts w:asciiTheme="majorHAnsi" w:hAnsiTheme="majorHAnsi"/>
        </w:rPr>
        <w:t xml:space="preserve"> </w:t>
      </w:r>
      <w:r>
        <w:rPr>
          <w:rFonts w:asciiTheme="majorHAnsi" w:hAnsiTheme="majorHAnsi"/>
        </w:rPr>
        <w:t xml:space="preserve">be </w:t>
      </w:r>
      <w:r w:rsidR="005116A1">
        <w:rPr>
          <w:rFonts w:asciiTheme="majorHAnsi" w:hAnsiTheme="majorHAnsi"/>
        </w:rPr>
        <w:t>uploaded to a publicly accessible website</w:t>
      </w:r>
      <w:r>
        <w:rPr>
          <w:rFonts w:asciiTheme="majorHAnsi" w:hAnsiTheme="majorHAnsi"/>
        </w:rPr>
        <w:t xml:space="preserve"> to provide detailed </w:t>
      </w:r>
      <w:r w:rsidR="005116A1">
        <w:rPr>
          <w:rFonts w:asciiTheme="majorHAnsi" w:hAnsiTheme="majorHAnsi"/>
        </w:rPr>
        <w:t>descriptions of the interventions</w:t>
      </w:r>
      <w:r w:rsidR="00022CF8">
        <w:rPr>
          <w:rFonts w:asciiTheme="majorHAnsi" w:hAnsiTheme="majorHAnsi"/>
        </w:rPr>
        <w:t xml:space="preserve"> </w:t>
      </w:r>
      <w:r w:rsidR="005116A1">
        <w:rPr>
          <w:rFonts w:asciiTheme="majorHAnsi" w:hAnsiTheme="majorHAnsi"/>
        </w:rPr>
        <w:t>that PAs would pursue to</w:t>
      </w:r>
      <w:r w:rsidR="00022CF8">
        <w:rPr>
          <w:rFonts w:asciiTheme="majorHAnsi" w:hAnsiTheme="majorHAnsi"/>
        </w:rPr>
        <w:t xml:space="preserve"> </w:t>
      </w:r>
      <w:r w:rsidR="005116A1">
        <w:rPr>
          <w:rFonts w:asciiTheme="majorHAnsi" w:hAnsiTheme="majorHAnsi"/>
        </w:rPr>
        <w:t>achieve the high level efforts described in</w:t>
      </w:r>
      <w:r w:rsidR="00022CF8">
        <w:rPr>
          <w:rFonts w:asciiTheme="majorHAnsi" w:hAnsiTheme="majorHAnsi"/>
        </w:rPr>
        <w:t xml:space="preserve"> the Business P</w:t>
      </w:r>
      <w:r>
        <w:rPr>
          <w:rFonts w:asciiTheme="majorHAnsi" w:hAnsiTheme="majorHAnsi"/>
        </w:rPr>
        <w:t>lans.</w:t>
      </w:r>
    </w:p>
    <w:p w:rsidR="006F1E9C" w:rsidRPr="00114CFE" w:rsidRDefault="006F1E9C">
      <w:pPr>
        <w:rPr>
          <w:rFonts w:asciiTheme="majorHAnsi" w:hAnsiTheme="majorHAnsi"/>
        </w:rPr>
      </w:pPr>
    </w:p>
    <w:p w:rsidR="006924CC" w:rsidRDefault="005116A1">
      <w:pPr>
        <w:rPr>
          <w:rFonts w:asciiTheme="majorHAnsi" w:hAnsiTheme="majorHAnsi"/>
        </w:rPr>
      </w:pPr>
      <w:r>
        <w:rPr>
          <w:rFonts w:asciiTheme="majorHAnsi" w:hAnsiTheme="majorHAnsi"/>
        </w:rPr>
        <w:t xml:space="preserve">D. 15-10-028 </w:t>
      </w:r>
      <w:r w:rsidR="006F1E9C" w:rsidRPr="00114CFE">
        <w:rPr>
          <w:rFonts w:asciiTheme="majorHAnsi" w:hAnsiTheme="majorHAnsi"/>
        </w:rPr>
        <w:t>described</w:t>
      </w:r>
      <w:r w:rsidRPr="005116A1">
        <w:rPr>
          <w:rFonts w:asciiTheme="majorHAnsi" w:hAnsiTheme="majorHAnsi"/>
        </w:rPr>
        <w:t xml:space="preserve"> </w:t>
      </w:r>
      <w:r>
        <w:rPr>
          <w:rFonts w:asciiTheme="majorHAnsi" w:hAnsiTheme="majorHAnsi"/>
        </w:rPr>
        <w:t>and provided a template for</w:t>
      </w:r>
      <w:r w:rsidR="006F1E9C" w:rsidRPr="00114CFE">
        <w:rPr>
          <w:rFonts w:asciiTheme="majorHAnsi" w:hAnsiTheme="majorHAnsi"/>
        </w:rPr>
        <w:t xml:space="preserve"> </w:t>
      </w:r>
      <w:r>
        <w:rPr>
          <w:rFonts w:asciiTheme="majorHAnsi" w:hAnsiTheme="majorHAnsi"/>
        </w:rPr>
        <w:t>the Business Plans,</w:t>
      </w:r>
      <w:r>
        <w:rPr>
          <w:rStyle w:val="FootnoteReference"/>
          <w:rFonts w:asciiTheme="majorHAnsi" w:hAnsiTheme="majorHAnsi"/>
        </w:rPr>
        <w:footnoteReference w:id="2"/>
      </w:r>
      <w:r>
        <w:rPr>
          <w:rFonts w:asciiTheme="majorHAnsi" w:hAnsiTheme="majorHAnsi"/>
        </w:rPr>
        <w:t xml:space="preserve"> and it also </w:t>
      </w:r>
      <w:r w:rsidR="006F1E9C" w:rsidRPr="00114CFE">
        <w:rPr>
          <w:rFonts w:asciiTheme="majorHAnsi" w:hAnsiTheme="majorHAnsi"/>
        </w:rPr>
        <w:t xml:space="preserve">delegated to Commission staff responsibility to </w:t>
      </w:r>
      <w:r w:rsidR="00055916">
        <w:rPr>
          <w:rFonts w:asciiTheme="majorHAnsi" w:hAnsiTheme="majorHAnsi"/>
        </w:rPr>
        <w:t>provide additional guidance on Business P</w:t>
      </w:r>
      <w:r w:rsidR="006F1E9C" w:rsidRPr="00114CFE">
        <w:rPr>
          <w:rFonts w:asciiTheme="majorHAnsi" w:hAnsiTheme="majorHAnsi"/>
        </w:rPr>
        <w:t xml:space="preserve">lan </w:t>
      </w:r>
      <w:r>
        <w:rPr>
          <w:rFonts w:asciiTheme="majorHAnsi" w:hAnsiTheme="majorHAnsi"/>
        </w:rPr>
        <w:t>contents</w:t>
      </w:r>
      <w:r w:rsidR="006F1E9C" w:rsidRPr="00114CFE">
        <w:rPr>
          <w:rFonts w:asciiTheme="majorHAnsi" w:hAnsiTheme="majorHAnsi"/>
        </w:rPr>
        <w:t xml:space="preserve">.  In doing so, the Commission emphasized a desire to balance the need to receive useful information from </w:t>
      </w:r>
      <w:r>
        <w:rPr>
          <w:rFonts w:asciiTheme="majorHAnsi" w:hAnsiTheme="majorHAnsi"/>
        </w:rPr>
        <w:t>PAs</w:t>
      </w:r>
      <w:r w:rsidR="006F1E9C" w:rsidRPr="00114CFE">
        <w:rPr>
          <w:rFonts w:asciiTheme="majorHAnsi" w:hAnsiTheme="majorHAnsi"/>
        </w:rPr>
        <w:t xml:space="preserve"> with an aim to </w:t>
      </w:r>
      <w:r w:rsidR="00055916">
        <w:rPr>
          <w:rFonts w:asciiTheme="majorHAnsi" w:hAnsiTheme="majorHAnsi"/>
        </w:rPr>
        <w:t>keep Business P</w:t>
      </w:r>
      <w:r w:rsidR="006F1E9C" w:rsidRPr="00114CFE">
        <w:rPr>
          <w:rFonts w:asciiTheme="majorHAnsi" w:hAnsiTheme="majorHAnsi"/>
        </w:rPr>
        <w:t>lans “compact and focused, and to reduce administrative costs.”</w:t>
      </w:r>
      <w:r w:rsidR="006F1E9C" w:rsidRPr="00114CFE">
        <w:rPr>
          <w:rStyle w:val="FootnoteReference"/>
          <w:rFonts w:asciiTheme="majorHAnsi" w:hAnsiTheme="majorHAnsi"/>
        </w:rPr>
        <w:footnoteReference w:id="3"/>
      </w:r>
      <w:r w:rsidR="006F1E9C" w:rsidRPr="00114CFE">
        <w:rPr>
          <w:rFonts w:asciiTheme="majorHAnsi" w:hAnsiTheme="majorHAnsi"/>
        </w:rPr>
        <w:t xml:space="preserve">  </w:t>
      </w:r>
      <w:r w:rsidR="00B00127">
        <w:rPr>
          <w:rFonts w:asciiTheme="majorHAnsi" w:hAnsiTheme="majorHAnsi"/>
        </w:rPr>
        <w:t>This document provides staff’s additional guidance consistent with the Commission’s request.</w:t>
      </w:r>
    </w:p>
    <w:p w:rsidR="006924CC" w:rsidRDefault="006924CC">
      <w:pPr>
        <w:rPr>
          <w:rFonts w:asciiTheme="majorHAnsi" w:hAnsiTheme="majorHAnsi"/>
        </w:rPr>
      </w:pPr>
    </w:p>
    <w:p w:rsidR="00B00127" w:rsidRDefault="00544F88">
      <w:pPr>
        <w:rPr>
          <w:rFonts w:asciiTheme="majorHAnsi" w:hAnsiTheme="majorHAnsi"/>
          <w:b/>
        </w:rPr>
      </w:pPr>
      <w:r>
        <w:rPr>
          <w:rFonts w:asciiTheme="majorHAnsi" w:hAnsiTheme="majorHAnsi"/>
          <w:b/>
        </w:rPr>
        <w:t>Market Participants’ Role</w:t>
      </w:r>
      <w:r w:rsidR="00B00127">
        <w:rPr>
          <w:rFonts w:asciiTheme="majorHAnsi" w:hAnsiTheme="majorHAnsi"/>
          <w:b/>
        </w:rPr>
        <w:t xml:space="preserve"> </w:t>
      </w:r>
      <w:r w:rsidR="00A47D6D">
        <w:rPr>
          <w:rFonts w:asciiTheme="majorHAnsi" w:hAnsiTheme="majorHAnsi"/>
          <w:b/>
        </w:rPr>
        <w:t xml:space="preserve">in </w:t>
      </w:r>
      <w:r>
        <w:rPr>
          <w:rFonts w:asciiTheme="majorHAnsi" w:hAnsiTheme="majorHAnsi"/>
          <w:b/>
        </w:rPr>
        <w:t>Business Plan</w:t>
      </w:r>
      <w:r w:rsidR="00B00127">
        <w:rPr>
          <w:rFonts w:asciiTheme="majorHAnsi" w:hAnsiTheme="majorHAnsi"/>
          <w:b/>
        </w:rPr>
        <w:t xml:space="preserve"> </w:t>
      </w:r>
      <w:r>
        <w:rPr>
          <w:rFonts w:asciiTheme="majorHAnsi" w:hAnsiTheme="majorHAnsi"/>
          <w:b/>
        </w:rPr>
        <w:t xml:space="preserve">Development </w:t>
      </w:r>
    </w:p>
    <w:p w:rsidR="00544F88" w:rsidRDefault="00544F88">
      <w:pPr>
        <w:rPr>
          <w:rFonts w:asciiTheme="majorHAnsi" w:hAnsiTheme="majorHAnsi"/>
        </w:rPr>
      </w:pPr>
    </w:p>
    <w:p w:rsidR="004D0BFB" w:rsidRDefault="00CF367B" w:rsidP="004D0BFB">
      <w:pPr>
        <w:rPr>
          <w:rFonts w:asciiTheme="majorHAnsi" w:hAnsiTheme="majorHAnsi"/>
        </w:rPr>
      </w:pPr>
      <w:r>
        <w:rPr>
          <w:rFonts w:asciiTheme="majorHAnsi" w:hAnsiTheme="majorHAnsi"/>
        </w:rPr>
        <w:t xml:space="preserve">Decision </w:t>
      </w:r>
      <w:r w:rsidR="0020449A">
        <w:rPr>
          <w:rFonts w:asciiTheme="majorHAnsi" w:hAnsiTheme="majorHAnsi"/>
        </w:rPr>
        <w:t xml:space="preserve">D. 15-10-028 calls for the creation of a </w:t>
      </w:r>
      <w:r>
        <w:rPr>
          <w:rFonts w:asciiTheme="majorHAnsi" w:hAnsiTheme="majorHAnsi"/>
        </w:rPr>
        <w:t>Coordinating</w:t>
      </w:r>
      <w:r w:rsidR="0020449A">
        <w:rPr>
          <w:rFonts w:asciiTheme="majorHAnsi" w:hAnsiTheme="majorHAnsi"/>
        </w:rPr>
        <w:t xml:space="preserve"> Committee comprised of a variety of stakeholders, including market </w:t>
      </w:r>
      <w:r>
        <w:rPr>
          <w:rFonts w:asciiTheme="majorHAnsi" w:hAnsiTheme="majorHAnsi"/>
        </w:rPr>
        <w:t>participants</w:t>
      </w:r>
      <w:r w:rsidR="0020449A">
        <w:rPr>
          <w:rFonts w:asciiTheme="majorHAnsi" w:hAnsiTheme="majorHAnsi"/>
        </w:rPr>
        <w:t>, to inform the Rolling Portfolios.</w:t>
      </w:r>
      <w:r w:rsidR="00DF6A51" w:rsidRPr="00DF6A51">
        <w:rPr>
          <w:rStyle w:val="FootnoteReference"/>
          <w:rFonts w:asciiTheme="majorHAnsi" w:hAnsiTheme="majorHAnsi"/>
        </w:rPr>
        <w:t xml:space="preserve"> </w:t>
      </w:r>
      <w:r w:rsidR="00DF6A51">
        <w:rPr>
          <w:rStyle w:val="FootnoteReference"/>
          <w:rFonts w:asciiTheme="majorHAnsi" w:hAnsiTheme="majorHAnsi"/>
        </w:rPr>
        <w:footnoteReference w:id="4"/>
      </w:r>
      <w:r w:rsidR="0020449A">
        <w:rPr>
          <w:rFonts w:asciiTheme="majorHAnsi" w:hAnsiTheme="majorHAnsi"/>
        </w:rPr>
        <w:t xml:space="preserve">  </w:t>
      </w:r>
      <w:r w:rsidR="004D0BFB" w:rsidRPr="00114CFE">
        <w:rPr>
          <w:rFonts w:asciiTheme="majorHAnsi" w:hAnsiTheme="majorHAnsi"/>
        </w:rPr>
        <w:t xml:space="preserve">The </w:t>
      </w:r>
      <w:r>
        <w:rPr>
          <w:rFonts w:asciiTheme="majorHAnsi" w:hAnsiTheme="majorHAnsi"/>
        </w:rPr>
        <w:t>Coordinating</w:t>
      </w:r>
      <w:r w:rsidR="004D0BFB" w:rsidRPr="00114CFE">
        <w:rPr>
          <w:rFonts w:asciiTheme="majorHAnsi" w:hAnsiTheme="majorHAnsi"/>
        </w:rPr>
        <w:t xml:space="preserve"> Committee </w:t>
      </w:r>
      <w:r w:rsidR="004D0BFB">
        <w:rPr>
          <w:rFonts w:asciiTheme="majorHAnsi" w:hAnsiTheme="majorHAnsi"/>
        </w:rPr>
        <w:t>is</w:t>
      </w:r>
      <w:r w:rsidR="004D0BFB" w:rsidRPr="00114CFE">
        <w:rPr>
          <w:rFonts w:asciiTheme="majorHAnsi" w:hAnsiTheme="majorHAnsi"/>
        </w:rPr>
        <w:t xml:space="preserve"> comprised of a wide range of parties with varying </w:t>
      </w:r>
      <w:r w:rsidR="004D0BFB" w:rsidRPr="00114CFE">
        <w:rPr>
          <w:rFonts w:asciiTheme="majorHAnsi" w:hAnsiTheme="majorHAnsi"/>
        </w:rPr>
        <w:lastRenderedPageBreak/>
        <w:t>interests and roles in the ratepayer-funded energy efficiency work taking place in California</w:t>
      </w:r>
      <w:r w:rsidR="004D0BFB">
        <w:rPr>
          <w:rFonts w:asciiTheme="majorHAnsi" w:hAnsiTheme="majorHAnsi"/>
        </w:rPr>
        <w:t xml:space="preserve"> including, among others,</w:t>
      </w:r>
      <w:r w:rsidR="004D0BFB" w:rsidRPr="00114CFE">
        <w:rPr>
          <w:rFonts w:asciiTheme="majorHAnsi" w:hAnsiTheme="majorHAnsi"/>
        </w:rPr>
        <w:t xml:space="preserve"> program administrators, local government organizations, regulatory agencies, and program implementers.  </w:t>
      </w:r>
    </w:p>
    <w:p w:rsidR="004D0BFB" w:rsidRDefault="004D0BFB" w:rsidP="0020449A">
      <w:pPr>
        <w:rPr>
          <w:rFonts w:asciiTheme="majorHAnsi" w:hAnsiTheme="majorHAnsi"/>
        </w:rPr>
      </w:pPr>
    </w:p>
    <w:p w:rsidR="00DF6A51" w:rsidRPr="00114CFE" w:rsidRDefault="00544F88" w:rsidP="00DF6A51">
      <w:pPr>
        <w:rPr>
          <w:rFonts w:asciiTheme="majorHAnsi" w:hAnsiTheme="majorHAnsi"/>
        </w:rPr>
      </w:pPr>
      <w:r>
        <w:rPr>
          <w:rFonts w:asciiTheme="majorHAnsi" w:hAnsiTheme="majorHAnsi"/>
        </w:rPr>
        <w:t xml:space="preserve">While staff fully supports this concept, </w:t>
      </w:r>
      <w:r w:rsidR="0020449A">
        <w:rPr>
          <w:rFonts w:asciiTheme="majorHAnsi" w:hAnsiTheme="majorHAnsi"/>
        </w:rPr>
        <w:t>Energy and Legal Division staff</w:t>
      </w:r>
      <w:r w:rsidR="00F339DA">
        <w:rPr>
          <w:rFonts w:asciiTheme="majorHAnsi" w:hAnsiTheme="majorHAnsi"/>
        </w:rPr>
        <w:t>s</w:t>
      </w:r>
      <w:r w:rsidR="0020449A">
        <w:rPr>
          <w:rFonts w:asciiTheme="majorHAnsi" w:hAnsiTheme="majorHAnsi"/>
        </w:rPr>
        <w:t xml:space="preserve"> </w:t>
      </w:r>
      <w:r>
        <w:rPr>
          <w:rFonts w:asciiTheme="majorHAnsi" w:hAnsiTheme="majorHAnsi"/>
        </w:rPr>
        <w:t>are</w:t>
      </w:r>
      <w:r w:rsidR="0020449A">
        <w:rPr>
          <w:rFonts w:asciiTheme="majorHAnsi" w:hAnsiTheme="majorHAnsi"/>
        </w:rPr>
        <w:t xml:space="preserve"> concerned that market actor participation in some aspects of the Coordinating Committee and subcommittee activities may give rise to a conflict of interest that will preclude market actors from bidding on implementation contracts with the PAs (or on evaluation contracts with the CPUC). </w:t>
      </w:r>
      <w:r w:rsidR="00DF6A51">
        <w:rPr>
          <w:rFonts w:asciiTheme="majorHAnsi" w:hAnsiTheme="majorHAnsi"/>
        </w:rPr>
        <w:t xml:space="preserve">  Consequently, the Coordinating Committee must ensure that discussions in which market actors participate remain at a high enough level that these participants will not be precluded from performing efficiency work for the PAs</w:t>
      </w:r>
      <w:r w:rsidR="00DF6A51" w:rsidRPr="00114CFE">
        <w:rPr>
          <w:rFonts w:asciiTheme="majorHAnsi" w:hAnsiTheme="majorHAnsi"/>
        </w:rPr>
        <w:t xml:space="preserve">. </w:t>
      </w:r>
    </w:p>
    <w:p w:rsidR="005C5183" w:rsidRDefault="005C5183" w:rsidP="0020449A">
      <w:pPr>
        <w:rPr>
          <w:rFonts w:asciiTheme="majorHAnsi" w:hAnsiTheme="majorHAnsi"/>
        </w:rPr>
      </w:pPr>
    </w:p>
    <w:p w:rsidR="0020449A" w:rsidRPr="00114CFE" w:rsidRDefault="00DF6A51" w:rsidP="0020449A">
      <w:pPr>
        <w:rPr>
          <w:rFonts w:asciiTheme="majorHAnsi" w:hAnsiTheme="majorHAnsi"/>
        </w:rPr>
      </w:pPr>
      <w:r>
        <w:rPr>
          <w:rFonts w:asciiTheme="majorHAnsi" w:hAnsiTheme="majorHAnsi"/>
        </w:rPr>
        <w:t>Staff perceives that the greatest</w:t>
      </w:r>
      <w:r w:rsidR="0020449A">
        <w:rPr>
          <w:rFonts w:asciiTheme="majorHAnsi" w:hAnsiTheme="majorHAnsi"/>
        </w:rPr>
        <w:t xml:space="preserve"> </w:t>
      </w:r>
      <w:r w:rsidR="00F339DA">
        <w:rPr>
          <w:rFonts w:asciiTheme="majorHAnsi" w:hAnsiTheme="majorHAnsi"/>
        </w:rPr>
        <w:t xml:space="preserve">concern for these conflicts to emerge </w:t>
      </w:r>
      <w:r>
        <w:rPr>
          <w:rFonts w:asciiTheme="majorHAnsi" w:hAnsiTheme="majorHAnsi"/>
        </w:rPr>
        <w:t xml:space="preserve">is </w:t>
      </w:r>
      <w:r w:rsidR="00F339DA">
        <w:rPr>
          <w:rFonts w:asciiTheme="majorHAnsi" w:hAnsiTheme="majorHAnsi"/>
        </w:rPr>
        <w:t xml:space="preserve">in the </w:t>
      </w:r>
      <w:r w:rsidR="00F339DA" w:rsidRPr="007A1A24">
        <w:rPr>
          <w:rFonts w:asciiTheme="majorHAnsi" w:hAnsiTheme="majorHAnsi"/>
          <w:b/>
        </w:rPr>
        <w:t>Implementation P</w:t>
      </w:r>
      <w:r w:rsidR="0020449A" w:rsidRPr="007A1A24">
        <w:rPr>
          <w:rFonts w:asciiTheme="majorHAnsi" w:hAnsiTheme="majorHAnsi"/>
          <w:b/>
        </w:rPr>
        <w:t>lan</w:t>
      </w:r>
      <w:r w:rsidR="0020449A">
        <w:rPr>
          <w:rFonts w:asciiTheme="majorHAnsi" w:hAnsiTheme="majorHAnsi"/>
        </w:rPr>
        <w:t xml:space="preserve"> development process</w:t>
      </w:r>
      <w:r w:rsidR="00A47D6D">
        <w:rPr>
          <w:rFonts w:asciiTheme="majorHAnsi" w:hAnsiTheme="majorHAnsi"/>
        </w:rPr>
        <w:t>. To avoid such conflict,</w:t>
      </w:r>
      <w:r>
        <w:rPr>
          <w:rFonts w:asciiTheme="majorHAnsi" w:hAnsiTheme="majorHAnsi"/>
        </w:rPr>
        <w:t xml:space="preserve"> staff</w:t>
      </w:r>
      <w:r w:rsidR="005C5183">
        <w:rPr>
          <w:rFonts w:asciiTheme="majorHAnsi" w:hAnsiTheme="majorHAnsi"/>
        </w:rPr>
        <w:t xml:space="preserve"> recommends that market actors not participate in any conversations related to the development of Implementation Plans</w:t>
      </w:r>
      <w:r w:rsidR="0020449A">
        <w:rPr>
          <w:rFonts w:asciiTheme="majorHAnsi" w:hAnsiTheme="majorHAnsi"/>
        </w:rPr>
        <w:t xml:space="preserve">. </w:t>
      </w:r>
      <w:r w:rsidR="005C5183">
        <w:rPr>
          <w:rFonts w:asciiTheme="majorHAnsi" w:hAnsiTheme="majorHAnsi"/>
        </w:rPr>
        <w:t>Further, staff recommends that</w:t>
      </w:r>
      <w:r w:rsidR="0020449A">
        <w:rPr>
          <w:rFonts w:asciiTheme="majorHAnsi" w:hAnsiTheme="majorHAnsi"/>
        </w:rPr>
        <w:t xml:space="preserve"> </w:t>
      </w:r>
      <w:r w:rsidR="0020449A" w:rsidRPr="007A1A24">
        <w:rPr>
          <w:rFonts w:asciiTheme="majorHAnsi" w:hAnsiTheme="majorHAnsi"/>
          <w:b/>
        </w:rPr>
        <w:t>Business Plans</w:t>
      </w:r>
      <w:r w:rsidR="0020449A">
        <w:rPr>
          <w:rFonts w:asciiTheme="majorHAnsi" w:hAnsiTheme="majorHAnsi"/>
        </w:rPr>
        <w:t xml:space="preserve"> </w:t>
      </w:r>
      <w:r w:rsidR="00544F88">
        <w:rPr>
          <w:rFonts w:asciiTheme="majorHAnsi" w:hAnsiTheme="majorHAnsi"/>
        </w:rPr>
        <w:t xml:space="preserve">not </w:t>
      </w:r>
      <w:r w:rsidR="0020449A">
        <w:rPr>
          <w:rFonts w:asciiTheme="majorHAnsi" w:hAnsiTheme="majorHAnsi"/>
        </w:rPr>
        <w:t xml:space="preserve">contain information that is so </w:t>
      </w:r>
      <w:r w:rsidR="00544F88">
        <w:rPr>
          <w:rFonts w:asciiTheme="majorHAnsi" w:hAnsiTheme="majorHAnsi"/>
        </w:rPr>
        <w:t>specific that it c</w:t>
      </w:r>
      <w:r w:rsidR="0020449A">
        <w:rPr>
          <w:rFonts w:asciiTheme="majorHAnsi" w:hAnsiTheme="majorHAnsi"/>
        </w:rPr>
        <w:t xml:space="preserve">ould </w:t>
      </w:r>
      <w:r w:rsidR="005C5183">
        <w:rPr>
          <w:rFonts w:asciiTheme="majorHAnsi" w:hAnsiTheme="majorHAnsi"/>
        </w:rPr>
        <w:t>advantage market actors</w:t>
      </w:r>
      <w:r w:rsidR="00544F88">
        <w:rPr>
          <w:rFonts w:asciiTheme="majorHAnsi" w:hAnsiTheme="majorHAnsi"/>
        </w:rPr>
        <w:t xml:space="preserve"> who contribute to </w:t>
      </w:r>
      <w:r w:rsidR="00CF2433">
        <w:rPr>
          <w:rFonts w:asciiTheme="majorHAnsi" w:hAnsiTheme="majorHAnsi"/>
        </w:rPr>
        <w:t>the</w:t>
      </w:r>
      <w:r w:rsidR="00F339DA">
        <w:rPr>
          <w:rFonts w:asciiTheme="majorHAnsi" w:hAnsiTheme="majorHAnsi"/>
        </w:rPr>
        <w:t>ir development</w:t>
      </w:r>
      <w:r w:rsidR="00CF2433">
        <w:rPr>
          <w:rFonts w:asciiTheme="majorHAnsi" w:hAnsiTheme="majorHAnsi"/>
        </w:rPr>
        <w:t>.  Listed below are some e</w:t>
      </w:r>
      <w:r w:rsidR="0020449A">
        <w:rPr>
          <w:rFonts w:asciiTheme="majorHAnsi" w:hAnsiTheme="majorHAnsi"/>
        </w:rPr>
        <w:t>xamples of the types of i</w:t>
      </w:r>
      <w:r w:rsidR="0020449A" w:rsidRPr="00114CFE">
        <w:rPr>
          <w:rFonts w:asciiTheme="majorHAnsi" w:hAnsiTheme="majorHAnsi"/>
        </w:rPr>
        <w:t xml:space="preserve">nformation that </w:t>
      </w:r>
      <w:r w:rsidR="00CF2433">
        <w:rPr>
          <w:rFonts w:asciiTheme="majorHAnsi" w:hAnsiTheme="majorHAnsi"/>
        </w:rPr>
        <w:t>staff recommend not be in</w:t>
      </w:r>
      <w:r w:rsidR="0020449A">
        <w:rPr>
          <w:rFonts w:asciiTheme="majorHAnsi" w:hAnsiTheme="majorHAnsi"/>
        </w:rPr>
        <w:t xml:space="preserve">cluded </w:t>
      </w:r>
      <w:r w:rsidR="00CF2433">
        <w:rPr>
          <w:rFonts w:asciiTheme="majorHAnsi" w:hAnsiTheme="majorHAnsi"/>
        </w:rPr>
        <w:t>in</w:t>
      </w:r>
      <w:r w:rsidR="0020449A">
        <w:rPr>
          <w:rFonts w:asciiTheme="majorHAnsi" w:hAnsiTheme="majorHAnsi"/>
        </w:rPr>
        <w:t xml:space="preserve"> the Business P</w:t>
      </w:r>
      <w:r w:rsidR="0020449A" w:rsidRPr="00114CFE">
        <w:rPr>
          <w:rFonts w:asciiTheme="majorHAnsi" w:hAnsiTheme="majorHAnsi"/>
        </w:rPr>
        <w:t>lans</w:t>
      </w:r>
      <w:r w:rsidR="00CF2433">
        <w:rPr>
          <w:rFonts w:asciiTheme="majorHAnsi" w:hAnsiTheme="majorHAnsi"/>
        </w:rPr>
        <w:t xml:space="preserve"> to avoid this potential conflict</w:t>
      </w:r>
      <w:r w:rsidR="0020449A" w:rsidRPr="00114CFE">
        <w:rPr>
          <w:rFonts w:asciiTheme="majorHAnsi" w:hAnsiTheme="majorHAnsi"/>
        </w:rPr>
        <w:t>:</w:t>
      </w:r>
    </w:p>
    <w:p w:rsidR="0020449A" w:rsidRPr="00114CFE" w:rsidRDefault="0020449A" w:rsidP="0020449A">
      <w:pPr>
        <w:rPr>
          <w:rFonts w:asciiTheme="majorHAnsi" w:hAnsiTheme="majorHAnsi"/>
        </w:rPr>
      </w:pPr>
    </w:p>
    <w:p w:rsidR="0020449A" w:rsidRPr="00114CFE" w:rsidRDefault="0020449A" w:rsidP="0020449A">
      <w:pPr>
        <w:pStyle w:val="ListParagraph"/>
        <w:numPr>
          <w:ilvl w:val="0"/>
          <w:numId w:val="7"/>
        </w:numPr>
        <w:rPr>
          <w:rFonts w:asciiTheme="majorHAnsi" w:hAnsiTheme="majorHAnsi"/>
        </w:rPr>
      </w:pPr>
      <w:r w:rsidRPr="00114CFE">
        <w:rPr>
          <w:rFonts w:asciiTheme="majorHAnsi" w:hAnsiTheme="majorHAnsi"/>
        </w:rPr>
        <w:t xml:space="preserve">Vendor-specific technologies (i.e. rather than stating an intent </w:t>
      </w:r>
      <w:r>
        <w:rPr>
          <w:rFonts w:asciiTheme="majorHAnsi" w:hAnsiTheme="majorHAnsi"/>
        </w:rPr>
        <w:t>to deploy “smart thermostats”, Business P</w:t>
      </w:r>
      <w:r w:rsidRPr="00114CFE">
        <w:rPr>
          <w:rFonts w:asciiTheme="majorHAnsi" w:hAnsiTheme="majorHAnsi"/>
        </w:rPr>
        <w:t xml:space="preserve">lans would instead refer to </w:t>
      </w:r>
      <w:r w:rsidR="00F339DA">
        <w:rPr>
          <w:rFonts w:asciiTheme="majorHAnsi" w:hAnsiTheme="majorHAnsi"/>
        </w:rPr>
        <w:t>a broader category of solutions, such as</w:t>
      </w:r>
      <w:r w:rsidR="003E2DB3">
        <w:rPr>
          <w:rFonts w:asciiTheme="majorHAnsi" w:hAnsiTheme="majorHAnsi"/>
        </w:rPr>
        <w:t xml:space="preserve"> </w:t>
      </w:r>
      <w:r w:rsidRPr="00114CFE">
        <w:rPr>
          <w:rFonts w:asciiTheme="majorHAnsi" w:hAnsiTheme="majorHAnsi"/>
        </w:rPr>
        <w:t>“energy management technologies”</w:t>
      </w:r>
      <w:r>
        <w:rPr>
          <w:rFonts w:asciiTheme="majorHAnsi" w:hAnsiTheme="majorHAnsi"/>
        </w:rPr>
        <w:t xml:space="preserve">); </w:t>
      </w:r>
    </w:p>
    <w:p w:rsidR="0020449A" w:rsidRPr="00114CFE" w:rsidRDefault="0020449A" w:rsidP="0020449A">
      <w:pPr>
        <w:pStyle w:val="ListParagraph"/>
        <w:numPr>
          <w:ilvl w:val="0"/>
          <w:numId w:val="7"/>
        </w:numPr>
        <w:rPr>
          <w:rFonts w:asciiTheme="majorHAnsi" w:hAnsiTheme="majorHAnsi"/>
        </w:rPr>
      </w:pPr>
      <w:r w:rsidRPr="00114CFE">
        <w:rPr>
          <w:rFonts w:asciiTheme="majorHAnsi" w:hAnsiTheme="majorHAnsi"/>
        </w:rPr>
        <w:t>Specific budget amounts directed towards specific activities (</w:t>
      </w:r>
      <w:r>
        <w:rPr>
          <w:rFonts w:asciiTheme="majorHAnsi" w:hAnsiTheme="majorHAnsi"/>
        </w:rPr>
        <w:t>i.e. Business P</w:t>
      </w:r>
      <w:r w:rsidRPr="00114CFE">
        <w:rPr>
          <w:rFonts w:asciiTheme="majorHAnsi" w:hAnsiTheme="majorHAnsi"/>
        </w:rPr>
        <w:t>lans would describe budgets for a suite of programmatic efforts,</w:t>
      </w:r>
      <w:r>
        <w:rPr>
          <w:rFonts w:asciiTheme="majorHAnsi" w:hAnsiTheme="majorHAnsi"/>
        </w:rPr>
        <w:t xml:space="preserve"> or at the sector level,</w:t>
      </w:r>
      <w:r w:rsidRPr="00114CFE">
        <w:rPr>
          <w:rFonts w:asciiTheme="majorHAnsi" w:hAnsiTheme="majorHAnsi"/>
        </w:rPr>
        <w:t xml:space="preserve"> rather than specific</w:t>
      </w:r>
      <w:r>
        <w:rPr>
          <w:rFonts w:asciiTheme="majorHAnsi" w:hAnsiTheme="majorHAnsi"/>
        </w:rPr>
        <w:t xml:space="preserve"> budgets for</w:t>
      </w:r>
      <w:r w:rsidRPr="00114CFE">
        <w:rPr>
          <w:rFonts w:asciiTheme="majorHAnsi" w:hAnsiTheme="majorHAnsi"/>
        </w:rPr>
        <w:t xml:space="preserve"> </w:t>
      </w:r>
      <w:r>
        <w:rPr>
          <w:rFonts w:asciiTheme="majorHAnsi" w:hAnsiTheme="majorHAnsi"/>
        </w:rPr>
        <w:t xml:space="preserve">individual </w:t>
      </w:r>
      <w:r w:rsidRPr="00114CFE">
        <w:rPr>
          <w:rFonts w:asciiTheme="majorHAnsi" w:hAnsiTheme="majorHAnsi"/>
        </w:rPr>
        <w:t>interventions</w:t>
      </w:r>
      <w:r w:rsidRPr="00114CFE">
        <w:rPr>
          <w:rStyle w:val="FootnoteReference"/>
          <w:rFonts w:asciiTheme="majorHAnsi" w:hAnsiTheme="majorHAnsi"/>
        </w:rPr>
        <w:footnoteReference w:id="5"/>
      </w:r>
      <w:r w:rsidRPr="00114CFE">
        <w:rPr>
          <w:rFonts w:asciiTheme="majorHAnsi" w:hAnsiTheme="majorHAnsi"/>
        </w:rPr>
        <w:t>)</w:t>
      </w:r>
      <w:r>
        <w:rPr>
          <w:rFonts w:asciiTheme="majorHAnsi" w:hAnsiTheme="majorHAnsi"/>
        </w:rPr>
        <w:t>; and</w:t>
      </w:r>
    </w:p>
    <w:p w:rsidR="0020449A" w:rsidRDefault="0020449A" w:rsidP="0020449A">
      <w:pPr>
        <w:pStyle w:val="ListParagraph"/>
        <w:numPr>
          <w:ilvl w:val="0"/>
          <w:numId w:val="7"/>
        </w:numPr>
        <w:rPr>
          <w:rFonts w:asciiTheme="majorHAnsi" w:hAnsiTheme="majorHAnsi"/>
        </w:rPr>
      </w:pPr>
      <w:r w:rsidRPr="00114CFE">
        <w:rPr>
          <w:rFonts w:asciiTheme="majorHAnsi" w:hAnsiTheme="majorHAnsi"/>
        </w:rPr>
        <w:t>Any references to or rating of (implied or otherwise</w:t>
      </w:r>
      <w:r>
        <w:rPr>
          <w:rFonts w:asciiTheme="majorHAnsi" w:hAnsiTheme="majorHAnsi"/>
        </w:rPr>
        <w:t>, positive or negative</w:t>
      </w:r>
      <w:r w:rsidRPr="00114CFE">
        <w:rPr>
          <w:rFonts w:asciiTheme="majorHAnsi" w:hAnsiTheme="majorHAnsi"/>
        </w:rPr>
        <w:t>) implementer work already underway that could give an appearance of bias</w:t>
      </w:r>
      <w:r>
        <w:rPr>
          <w:rFonts w:asciiTheme="majorHAnsi" w:hAnsiTheme="majorHAnsi"/>
        </w:rPr>
        <w:t xml:space="preserve"> or preference – Business P</w:t>
      </w:r>
      <w:r w:rsidRPr="00114CFE">
        <w:rPr>
          <w:rFonts w:asciiTheme="majorHAnsi" w:hAnsiTheme="majorHAnsi"/>
        </w:rPr>
        <w:t xml:space="preserve">lans can describe the success or </w:t>
      </w:r>
      <w:r>
        <w:rPr>
          <w:rFonts w:asciiTheme="majorHAnsi" w:hAnsiTheme="majorHAnsi"/>
        </w:rPr>
        <w:t>shortcomings</w:t>
      </w:r>
      <w:r w:rsidRPr="00114CFE">
        <w:rPr>
          <w:rFonts w:asciiTheme="majorHAnsi" w:hAnsiTheme="majorHAnsi"/>
        </w:rPr>
        <w:t xml:space="preserve"> of such work, without referring specifically to implementer firms</w:t>
      </w:r>
      <w:r>
        <w:rPr>
          <w:rFonts w:asciiTheme="majorHAnsi" w:hAnsiTheme="majorHAnsi"/>
        </w:rPr>
        <w:t>.</w:t>
      </w:r>
    </w:p>
    <w:p w:rsidR="0020449A" w:rsidRDefault="0020449A" w:rsidP="0020449A">
      <w:pPr>
        <w:rPr>
          <w:rFonts w:asciiTheme="majorHAnsi" w:hAnsiTheme="majorHAnsi"/>
        </w:rPr>
      </w:pPr>
    </w:p>
    <w:p w:rsidR="00B273F0" w:rsidRDefault="000F38E7" w:rsidP="0020449A">
      <w:pPr>
        <w:rPr>
          <w:rFonts w:asciiTheme="majorHAnsi" w:hAnsiTheme="majorHAnsi"/>
        </w:rPr>
      </w:pPr>
      <w:r>
        <w:rPr>
          <w:rFonts w:asciiTheme="majorHAnsi" w:hAnsiTheme="majorHAnsi"/>
        </w:rPr>
        <w:t>More generally</w:t>
      </w:r>
      <w:r w:rsidR="008F3866">
        <w:rPr>
          <w:rFonts w:asciiTheme="majorHAnsi" w:hAnsiTheme="majorHAnsi"/>
        </w:rPr>
        <w:t>,</w:t>
      </w:r>
      <w:r w:rsidR="00206E71">
        <w:rPr>
          <w:rFonts w:asciiTheme="majorHAnsi" w:hAnsiTheme="majorHAnsi"/>
        </w:rPr>
        <w:t xml:space="preserve"> </w:t>
      </w:r>
      <w:r w:rsidR="00A47D6D">
        <w:rPr>
          <w:rFonts w:asciiTheme="majorHAnsi" w:hAnsiTheme="majorHAnsi"/>
        </w:rPr>
        <w:t xml:space="preserve">staff recognizes </w:t>
      </w:r>
      <w:r w:rsidR="00747409">
        <w:rPr>
          <w:rFonts w:asciiTheme="majorHAnsi" w:hAnsiTheme="majorHAnsi"/>
        </w:rPr>
        <w:t>that it</w:t>
      </w:r>
      <w:r w:rsidR="00877F85">
        <w:rPr>
          <w:rFonts w:asciiTheme="majorHAnsi" w:hAnsiTheme="majorHAnsi"/>
        </w:rPr>
        <w:t xml:space="preserve"> may </w:t>
      </w:r>
      <w:r w:rsidR="0039763A">
        <w:rPr>
          <w:rFonts w:asciiTheme="majorHAnsi" w:hAnsiTheme="majorHAnsi"/>
        </w:rPr>
        <w:t>not be easy</w:t>
      </w:r>
      <w:r w:rsidR="00877F85">
        <w:rPr>
          <w:rFonts w:asciiTheme="majorHAnsi" w:hAnsiTheme="majorHAnsi"/>
        </w:rPr>
        <w:t xml:space="preserve"> to establish a consistent bright line </w:t>
      </w:r>
      <w:r w:rsidR="0039763A">
        <w:rPr>
          <w:rFonts w:asciiTheme="majorHAnsi" w:hAnsiTheme="majorHAnsi"/>
        </w:rPr>
        <w:t xml:space="preserve">to </w:t>
      </w:r>
      <w:r w:rsidR="00747409">
        <w:rPr>
          <w:rFonts w:asciiTheme="majorHAnsi" w:hAnsiTheme="majorHAnsi"/>
        </w:rPr>
        <w:t>ensure that</w:t>
      </w:r>
      <w:r w:rsidR="00877F85">
        <w:rPr>
          <w:rFonts w:asciiTheme="majorHAnsi" w:hAnsiTheme="majorHAnsi"/>
        </w:rPr>
        <w:t xml:space="preserve"> </w:t>
      </w:r>
      <w:r w:rsidR="0039763A">
        <w:rPr>
          <w:rFonts w:asciiTheme="majorHAnsi" w:hAnsiTheme="majorHAnsi"/>
        </w:rPr>
        <w:t>Business Plan discussion do</w:t>
      </w:r>
      <w:r w:rsidR="00355C13">
        <w:rPr>
          <w:rFonts w:asciiTheme="majorHAnsi" w:hAnsiTheme="majorHAnsi"/>
        </w:rPr>
        <w:t>es</w:t>
      </w:r>
      <w:r w:rsidR="00877F85">
        <w:rPr>
          <w:rFonts w:asciiTheme="majorHAnsi" w:hAnsiTheme="majorHAnsi"/>
        </w:rPr>
        <w:t xml:space="preserve"> not cross into topics that could benefit participating market </w:t>
      </w:r>
      <w:r w:rsidR="00747409">
        <w:rPr>
          <w:rFonts w:asciiTheme="majorHAnsi" w:hAnsiTheme="majorHAnsi"/>
        </w:rPr>
        <w:t>actors</w:t>
      </w:r>
      <w:r w:rsidR="00877F85">
        <w:rPr>
          <w:rFonts w:asciiTheme="majorHAnsi" w:hAnsiTheme="majorHAnsi"/>
        </w:rPr>
        <w:t xml:space="preserve"> and the </w:t>
      </w:r>
      <w:r w:rsidR="00CF367B">
        <w:rPr>
          <w:rFonts w:asciiTheme="majorHAnsi" w:hAnsiTheme="majorHAnsi"/>
        </w:rPr>
        <w:t>Coordinating</w:t>
      </w:r>
      <w:r w:rsidR="00877F85">
        <w:rPr>
          <w:rFonts w:asciiTheme="majorHAnsi" w:hAnsiTheme="majorHAnsi"/>
        </w:rPr>
        <w:t xml:space="preserve"> Committee and subcommittees may at times be working on Business and Implementation Plans contemporaneously</w:t>
      </w:r>
      <w:r w:rsidR="00A47D6D">
        <w:rPr>
          <w:rFonts w:asciiTheme="majorHAnsi" w:hAnsiTheme="majorHAnsi"/>
        </w:rPr>
        <w:t>.</w:t>
      </w:r>
      <w:r w:rsidR="00877F85">
        <w:rPr>
          <w:rFonts w:asciiTheme="majorHAnsi" w:hAnsiTheme="majorHAnsi"/>
        </w:rPr>
        <w:t xml:space="preserve"> </w:t>
      </w:r>
      <w:r w:rsidR="00A47D6D">
        <w:rPr>
          <w:rFonts w:asciiTheme="majorHAnsi" w:hAnsiTheme="majorHAnsi"/>
        </w:rPr>
        <w:t>S</w:t>
      </w:r>
      <w:r w:rsidR="008F3866">
        <w:rPr>
          <w:rFonts w:asciiTheme="majorHAnsi" w:hAnsiTheme="majorHAnsi"/>
        </w:rPr>
        <w:t>taff recommends that</w:t>
      </w:r>
      <w:r w:rsidR="0020449A">
        <w:rPr>
          <w:rFonts w:asciiTheme="majorHAnsi" w:hAnsiTheme="majorHAnsi"/>
        </w:rPr>
        <w:t xml:space="preserve"> the PAs and </w:t>
      </w:r>
      <w:r w:rsidR="00A47D6D">
        <w:rPr>
          <w:rFonts w:asciiTheme="majorHAnsi" w:hAnsiTheme="majorHAnsi"/>
        </w:rPr>
        <w:t xml:space="preserve">Coordinating </w:t>
      </w:r>
      <w:r w:rsidR="0020449A">
        <w:rPr>
          <w:rFonts w:asciiTheme="majorHAnsi" w:hAnsiTheme="majorHAnsi"/>
        </w:rPr>
        <w:t>Committee</w:t>
      </w:r>
      <w:r w:rsidR="00A47D6D">
        <w:rPr>
          <w:rFonts w:asciiTheme="majorHAnsi" w:hAnsiTheme="majorHAnsi"/>
        </w:rPr>
        <w:t xml:space="preserve"> and/or subcommittees</w:t>
      </w:r>
      <w:r w:rsidR="00BF4B8B">
        <w:rPr>
          <w:rFonts w:asciiTheme="majorHAnsi" w:hAnsiTheme="majorHAnsi"/>
        </w:rPr>
        <w:t xml:space="preserve"> </w:t>
      </w:r>
      <w:r w:rsidR="0020449A">
        <w:rPr>
          <w:rFonts w:asciiTheme="majorHAnsi" w:hAnsiTheme="majorHAnsi"/>
        </w:rPr>
        <w:t>develop a process that will allow market actors to provide input</w:t>
      </w:r>
      <w:r w:rsidR="00877F85">
        <w:rPr>
          <w:rFonts w:asciiTheme="majorHAnsi" w:hAnsiTheme="majorHAnsi"/>
        </w:rPr>
        <w:t xml:space="preserve"> into the Business</w:t>
      </w:r>
      <w:r w:rsidR="0020449A">
        <w:rPr>
          <w:rFonts w:asciiTheme="majorHAnsi" w:hAnsiTheme="majorHAnsi"/>
        </w:rPr>
        <w:t xml:space="preserve"> </w:t>
      </w:r>
      <w:r w:rsidR="00B273F0">
        <w:rPr>
          <w:rFonts w:asciiTheme="majorHAnsi" w:hAnsiTheme="majorHAnsi"/>
        </w:rPr>
        <w:t xml:space="preserve">Plans </w:t>
      </w:r>
      <w:r w:rsidR="0020449A">
        <w:rPr>
          <w:rFonts w:asciiTheme="majorHAnsi" w:hAnsiTheme="majorHAnsi"/>
        </w:rPr>
        <w:t>at a high level</w:t>
      </w:r>
      <w:r w:rsidR="00206E71">
        <w:rPr>
          <w:rFonts w:asciiTheme="majorHAnsi" w:hAnsiTheme="majorHAnsi"/>
        </w:rPr>
        <w:t>,</w:t>
      </w:r>
      <w:r w:rsidR="007A3923">
        <w:rPr>
          <w:rFonts w:asciiTheme="majorHAnsi" w:hAnsiTheme="majorHAnsi"/>
        </w:rPr>
        <w:t xml:space="preserve"> but not be</w:t>
      </w:r>
      <w:r w:rsidR="0020449A">
        <w:rPr>
          <w:rFonts w:asciiTheme="majorHAnsi" w:hAnsiTheme="majorHAnsi"/>
        </w:rPr>
        <w:t xml:space="preserve"> precluded from bidding on </w:t>
      </w:r>
      <w:r w:rsidR="00BF4B8B">
        <w:rPr>
          <w:rFonts w:asciiTheme="majorHAnsi" w:hAnsiTheme="majorHAnsi"/>
        </w:rPr>
        <w:t>portfolio implementation or evaluation</w:t>
      </w:r>
      <w:r w:rsidR="0020449A">
        <w:rPr>
          <w:rFonts w:asciiTheme="majorHAnsi" w:hAnsiTheme="majorHAnsi"/>
        </w:rPr>
        <w:t xml:space="preserve">. </w:t>
      </w:r>
      <w:r w:rsidR="00206E71">
        <w:rPr>
          <w:rFonts w:asciiTheme="majorHAnsi" w:hAnsiTheme="majorHAnsi"/>
        </w:rPr>
        <w:t xml:space="preserve"> </w:t>
      </w:r>
      <w:r w:rsidR="00DF6A51">
        <w:rPr>
          <w:rFonts w:asciiTheme="majorHAnsi" w:hAnsiTheme="majorHAnsi"/>
        </w:rPr>
        <w:t xml:space="preserve">The process should also clearly define who are or are not </w:t>
      </w:r>
      <w:r w:rsidR="00A47D6D">
        <w:rPr>
          <w:rFonts w:asciiTheme="majorHAnsi" w:hAnsiTheme="majorHAnsi"/>
        </w:rPr>
        <w:t>“</w:t>
      </w:r>
      <w:r w:rsidR="00DF6A51">
        <w:rPr>
          <w:rFonts w:asciiTheme="majorHAnsi" w:hAnsiTheme="majorHAnsi"/>
        </w:rPr>
        <w:t>market participants</w:t>
      </w:r>
      <w:r w:rsidR="00A47D6D">
        <w:rPr>
          <w:rFonts w:asciiTheme="majorHAnsi" w:hAnsiTheme="majorHAnsi"/>
        </w:rPr>
        <w:t>”</w:t>
      </w:r>
      <w:r w:rsidR="00DF6A51">
        <w:rPr>
          <w:rFonts w:asciiTheme="majorHAnsi" w:hAnsiTheme="majorHAnsi"/>
        </w:rPr>
        <w:t xml:space="preserve"> (</w:t>
      </w:r>
      <w:r w:rsidR="00A47D6D">
        <w:rPr>
          <w:rFonts w:asciiTheme="majorHAnsi" w:hAnsiTheme="majorHAnsi"/>
        </w:rPr>
        <w:t>F</w:t>
      </w:r>
      <w:r w:rsidR="00DF6A51">
        <w:rPr>
          <w:rFonts w:asciiTheme="majorHAnsi" w:hAnsiTheme="majorHAnsi"/>
        </w:rPr>
        <w:t xml:space="preserve">or instance, an organization that represents a broad range and number of market </w:t>
      </w:r>
      <w:r w:rsidR="00DF6A51">
        <w:rPr>
          <w:rFonts w:asciiTheme="majorHAnsi" w:hAnsiTheme="majorHAnsi"/>
        </w:rPr>
        <w:lastRenderedPageBreak/>
        <w:t xml:space="preserve">participants is likely not itself a market participant, since it is unlikely it </w:t>
      </w:r>
      <w:r w:rsidR="007B0F04">
        <w:rPr>
          <w:rFonts w:asciiTheme="majorHAnsi" w:hAnsiTheme="majorHAnsi"/>
        </w:rPr>
        <w:t>could help inform a program</w:t>
      </w:r>
      <w:r w:rsidR="00DF6A51">
        <w:rPr>
          <w:rFonts w:asciiTheme="majorHAnsi" w:hAnsiTheme="majorHAnsi"/>
        </w:rPr>
        <w:t xml:space="preserve"> </w:t>
      </w:r>
      <w:r w:rsidR="007B0F04">
        <w:rPr>
          <w:rFonts w:asciiTheme="majorHAnsi" w:hAnsiTheme="majorHAnsi"/>
        </w:rPr>
        <w:t xml:space="preserve">design </w:t>
      </w:r>
      <w:r w:rsidR="00DF6A51">
        <w:rPr>
          <w:rFonts w:asciiTheme="majorHAnsi" w:hAnsiTheme="majorHAnsi"/>
        </w:rPr>
        <w:t>that advantages its specific members over non-members).</w:t>
      </w:r>
    </w:p>
    <w:p w:rsidR="00B273F0" w:rsidRDefault="00B273F0" w:rsidP="0020449A">
      <w:pPr>
        <w:rPr>
          <w:rFonts w:asciiTheme="majorHAnsi" w:hAnsiTheme="majorHAnsi"/>
        </w:rPr>
      </w:pPr>
    </w:p>
    <w:p w:rsidR="002453AA" w:rsidRDefault="00B273F0" w:rsidP="0039763A">
      <w:pPr>
        <w:rPr>
          <w:rFonts w:asciiTheme="majorHAnsi" w:hAnsiTheme="majorHAnsi"/>
        </w:rPr>
      </w:pPr>
      <w:r>
        <w:rPr>
          <w:rFonts w:asciiTheme="majorHAnsi" w:hAnsiTheme="majorHAnsi"/>
        </w:rPr>
        <w:t>The process should</w:t>
      </w:r>
      <w:r w:rsidR="0039763A">
        <w:rPr>
          <w:rFonts w:asciiTheme="majorHAnsi" w:hAnsiTheme="majorHAnsi"/>
        </w:rPr>
        <w:t xml:space="preserve"> include guidelines</w:t>
      </w:r>
      <w:r w:rsidR="003C182E">
        <w:rPr>
          <w:rFonts w:asciiTheme="majorHAnsi" w:hAnsiTheme="majorHAnsi"/>
        </w:rPr>
        <w:t xml:space="preserve"> on how the</w:t>
      </w:r>
      <w:r w:rsidR="0039763A">
        <w:rPr>
          <w:rFonts w:asciiTheme="majorHAnsi" w:hAnsiTheme="majorHAnsi"/>
        </w:rPr>
        <w:t xml:space="preserve"> </w:t>
      </w:r>
      <w:r w:rsidR="00CF367B">
        <w:rPr>
          <w:rFonts w:asciiTheme="majorHAnsi" w:hAnsiTheme="majorHAnsi"/>
        </w:rPr>
        <w:t>Coordinating</w:t>
      </w:r>
      <w:r w:rsidR="003C182E">
        <w:rPr>
          <w:rFonts w:asciiTheme="majorHAnsi" w:hAnsiTheme="majorHAnsi"/>
        </w:rPr>
        <w:t xml:space="preserve"> Committee, </w:t>
      </w:r>
      <w:r w:rsidR="002453AA">
        <w:rPr>
          <w:rFonts w:asciiTheme="majorHAnsi" w:hAnsiTheme="majorHAnsi"/>
        </w:rPr>
        <w:t>sector sub-committee</w:t>
      </w:r>
      <w:r w:rsidR="003C182E">
        <w:rPr>
          <w:rFonts w:asciiTheme="majorHAnsi" w:hAnsiTheme="majorHAnsi"/>
        </w:rPr>
        <w:t>, and working group facilitators and</w:t>
      </w:r>
      <w:r w:rsidR="002453AA">
        <w:rPr>
          <w:rFonts w:asciiTheme="majorHAnsi" w:hAnsiTheme="majorHAnsi"/>
        </w:rPr>
        <w:t xml:space="preserve"> leadership will </w:t>
      </w:r>
      <w:r w:rsidR="003C182E">
        <w:rPr>
          <w:rFonts w:asciiTheme="majorHAnsi" w:hAnsiTheme="majorHAnsi"/>
        </w:rPr>
        <w:t>structure meeting agendas, materials, and discussions</w:t>
      </w:r>
      <w:r w:rsidR="002453AA">
        <w:rPr>
          <w:rFonts w:asciiTheme="majorHAnsi" w:hAnsiTheme="majorHAnsi"/>
        </w:rPr>
        <w:t xml:space="preserve"> to create a clear break between the conceptual, high-level guidance that will be inc</w:t>
      </w:r>
      <w:r w:rsidR="003C182E">
        <w:rPr>
          <w:rFonts w:asciiTheme="majorHAnsi" w:hAnsiTheme="majorHAnsi"/>
        </w:rPr>
        <w:t xml:space="preserve">luded in the Business Plans versus </w:t>
      </w:r>
      <w:r w:rsidR="002453AA">
        <w:rPr>
          <w:rFonts w:asciiTheme="majorHAnsi" w:hAnsiTheme="majorHAnsi"/>
        </w:rPr>
        <w:t>the more</w:t>
      </w:r>
      <w:r w:rsidR="003C182E">
        <w:rPr>
          <w:rFonts w:asciiTheme="majorHAnsi" w:hAnsiTheme="majorHAnsi"/>
        </w:rPr>
        <w:t xml:space="preserve"> detailed information that will inform Implementation Plans.  The process should also designate the entity responsible for ensuring that these boundaries are maintained.</w:t>
      </w:r>
      <w:r w:rsidR="007A3923">
        <w:rPr>
          <w:rFonts w:asciiTheme="majorHAnsi" w:hAnsiTheme="majorHAnsi"/>
        </w:rPr>
        <w:t xml:space="preserve">  </w:t>
      </w:r>
    </w:p>
    <w:p w:rsidR="002453AA" w:rsidRPr="00114CFE" w:rsidRDefault="002453AA" w:rsidP="002453AA">
      <w:pPr>
        <w:pStyle w:val="ListParagraph"/>
        <w:rPr>
          <w:rFonts w:asciiTheme="majorHAnsi" w:hAnsiTheme="majorHAnsi"/>
        </w:rPr>
      </w:pPr>
    </w:p>
    <w:p w:rsidR="0020449A" w:rsidRDefault="007A3923" w:rsidP="0020449A">
      <w:pPr>
        <w:rPr>
          <w:rFonts w:asciiTheme="majorHAnsi" w:hAnsiTheme="majorHAnsi"/>
        </w:rPr>
      </w:pPr>
      <w:r>
        <w:rPr>
          <w:rFonts w:asciiTheme="majorHAnsi" w:hAnsiTheme="majorHAnsi"/>
        </w:rPr>
        <w:t>In addition, s</w:t>
      </w:r>
      <w:r w:rsidR="00206E71">
        <w:rPr>
          <w:rFonts w:asciiTheme="majorHAnsi" w:hAnsiTheme="majorHAnsi"/>
        </w:rPr>
        <w:t xml:space="preserve">taff </w:t>
      </w:r>
      <w:r w:rsidR="00BF4B8B">
        <w:rPr>
          <w:rFonts w:asciiTheme="majorHAnsi" w:hAnsiTheme="majorHAnsi"/>
        </w:rPr>
        <w:t>expects</w:t>
      </w:r>
      <w:r w:rsidR="00206E71">
        <w:rPr>
          <w:rFonts w:asciiTheme="majorHAnsi" w:hAnsiTheme="majorHAnsi"/>
        </w:rPr>
        <w:t xml:space="preserve"> that the types of detailed con</w:t>
      </w:r>
      <w:r w:rsidR="00B273F0">
        <w:rPr>
          <w:rFonts w:asciiTheme="majorHAnsi" w:hAnsiTheme="majorHAnsi"/>
        </w:rPr>
        <w:t>versations in which topics that</w:t>
      </w:r>
      <w:r w:rsidR="00206E71">
        <w:rPr>
          <w:rFonts w:asciiTheme="majorHAnsi" w:hAnsiTheme="majorHAnsi"/>
        </w:rPr>
        <w:t xml:space="preserve"> could </w:t>
      </w:r>
      <w:r w:rsidR="00B273F0">
        <w:rPr>
          <w:rFonts w:asciiTheme="majorHAnsi" w:hAnsiTheme="majorHAnsi"/>
        </w:rPr>
        <w:t>raise conflict of interest concerns are most likely</w:t>
      </w:r>
      <w:r w:rsidR="0020449A">
        <w:rPr>
          <w:rFonts w:asciiTheme="majorHAnsi" w:hAnsiTheme="majorHAnsi"/>
        </w:rPr>
        <w:t xml:space="preserve"> </w:t>
      </w:r>
      <w:r w:rsidR="00B273F0">
        <w:rPr>
          <w:rFonts w:asciiTheme="majorHAnsi" w:hAnsiTheme="majorHAnsi"/>
        </w:rPr>
        <w:t>to</w:t>
      </w:r>
      <w:r w:rsidR="00BF4B8B">
        <w:rPr>
          <w:rFonts w:asciiTheme="majorHAnsi" w:hAnsiTheme="majorHAnsi"/>
        </w:rPr>
        <w:t xml:space="preserve"> occur </w:t>
      </w:r>
      <w:r w:rsidR="002A146D">
        <w:rPr>
          <w:rFonts w:asciiTheme="majorHAnsi" w:hAnsiTheme="majorHAnsi"/>
        </w:rPr>
        <w:t xml:space="preserve">are </w:t>
      </w:r>
      <w:r w:rsidR="00BF4B8B">
        <w:rPr>
          <w:rFonts w:asciiTheme="majorHAnsi" w:hAnsiTheme="majorHAnsi"/>
        </w:rPr>
        <w:t>in sector subcommittee meetings,</w:t>
      </w:r>
      <w:r w:rsidR="00BF4B8B" w:rsidRPr="00206E71">
        <w:rPr>
          <w:rFonts w:asciiTheme="majorHAnsi" w:hAnsiTheme="majorHAnsi"/>
        </w:rPr>
        <w:t xml:space="preserve"> </w:t>
      </w:r>
      <w:r w:rsidR="00BF4B8B">
        <w:rPr>
          <w:rFonts w:asciiTheme="majorHAnsi" w:hAnsiTheme="majorHAnsi"/>
        </w:rPr>
        <w:t>working groups or other unofficial groups of stakeh</w:t>
      </w:r>
      <w:r>
        <w:rPr>
          <w:rFonts w:asciiTheme="majorHAnsi" w:hAnsiTheme="majorHAnsi"/>
        </w:rPr>
        <w:t>olders</w:t>
      </w:r>
      <w:r w:rsidR="000D2CC9">
        <w:rPr>
          <w:rFonts w:asciiTheme="majorHAnsi" w:hAnsiTheme="majorHAnsi"/>
        </w:rPr>
        <w:t>, and at the same time staff expects that by their nature these groups will be made up of fewer and more issue-specific participants, which will reduce the level transparency of these groups’ proceedings</w:t>
      </w:r>
      <w:r>
        <w:rPr>
          <w:rFonts w:asciiTheme="majorHAnsi" w:hAnsiTheme="majorHAnsi"/>
        </w:rPr>
        <w:t>.  Consequently, this</w:t>
      </w:r>
      <w:r w:rsidR="00BF4B8B">
        <w:rPr>
          <w:rFonts w:asciiTheme="majorHAnsi" w:hAnsiTheme="majorHAnsi"/>
        </w:rPr>
        <w:t xml:space="preserve"> process</w:t>
      </w:r>
      <w:r>
        <w:rPr>
          <w:rFonts w:asciiTheme="majorHAnsi" w:hAnsiTheme="majorHAnsi"/>
        </w:rPr>
        <w:t xml:space="preserve"> </w:t>
      </w:r>
      <w:r w:rsidR="00BF4B8B">
        <w:rPr>
          <w:rFonts w:asciiTheme="majorHAnsi" w:hAnsiTheme="majorHAnsi"/>
        </w:rPr>
        <w:t xml:space="preserve">should </w:t>
      </w:r>
      <w:r>
        <w:rPr>
          <w:rFonts w:asciiTheme="majorHAnsi" w:hAnsiTheme="majorHAnsi"/>
        </w:rPr>
        <w:t>include the</w:t>
      </w:r>
      <w:r w:rsidR="0020449A">
        <w:rPr>
          <w:rFonts w:asciiTheme="majorHAnsi" w:hAnsiTheme="majorHAnsi"/>
        </w:rPr>
        <w:t xml:space="preserve"> list of all </w:t>
      </w:r>
      <w:r w:rsidR="00206E71">
        <w:rPr>
          <w:rFonts w:asciiTheme="majorHAnsi" w:hAnsiTheme="majorHAnsi"/>
        </w:rPr>
        <w:t xml:space="preserve">attendees </w:t>
      </w:r>
      <w:r>
        <w:rPr>
          <w:rFonts w:asciiTheme="majorHAnsi" w:hAnsiTheme="majorHAnsi"/>
        </w:rPr>
        <w:t>of these meetings</w:t>
      </w:r>
      <w:r w:rsidR="00BF4B8B">
        <w:rPr>
          <w:rFonts w:asciiTheme="majorHAnsi" w:hAnsiTheme="majorHAnsi"/>
        </w:rPr>
        <w:t xml:space="preserve"> </w:t>
      </w:r>
      <w:r>
        <w:rPr>
          <w:rFonts w:asciiTheme="majorHAnsi" w:hAnsiTheme="majorHAnsi"/>
        </w:rPr>
        <w:t xml:space="preserve">and, unlike the </w:t>
      </w:r>
      <w:r w:rsidR="00CF367B">
        <w:rPr>
          <w:rFonts w:asciiTheme="majorHAnsi" w:hAnsiTheme="majorHAnsi"/>
        </w:rPr>
        <w:t>Coordinating</w:t>
      </w:r>
      <w:r>
        <w:rPr>
          <w:rFonts w:asciiTheme="majorHAnsi" w:hAnsiTheme="majorHAnsi"/>
        </w:rPr>
        <w:t xml:space="preserve"> Committee meeting notes, subcommittee and working group meeting notes should attribute</w:t>
      </w:r>
      <w:r w:rsidR="0020449A">
        <w:rPr>
          <w:rFonts w:asciiTheme="majorHAnsi" w:hAnsiTheme="majorHAnsi"/>
        </w:rPr>
        <w:t xml:space="preserve"> </w:t>
      </w:r>
      <w:r>
        <w:rPr>
          <w:rFonts w:asciiTheme="majorHAnsi" w:hAnsiTheme="majorHAnsi"/>
        </w:rPr>
        <w:t>statements made in these meetings to specific participants</w:t>
      </w:r>
      <w:r w:rsidR="0020449A">
        <w:rPr>
          <w:rFonts w:asciiTheme="majorHAnsi" w:hAnsiTheme="majorHAnsi"/>
        </w:rPr>
        <w:t xml:space="preserve">. </w:t>
      </w:r>
    </w:p>
    <w:p w:rsidR="007A3923" w:rsidRDefault="007A3923" w:rsidP="0020449A">
      <w:pPr>
        <w:rPr>
          <w:rFonts w:asciiTheme="majorHAnsi" w:hAnsiTheme="majorHAnsi"/>
        </w:rPr>
      </w:pPr>
    </w:p>
    <w:p w:rsidR="006F1E9C" w:rsidRDefault="00B273F0">
      <w:pPr>
        <w:rPr>
          <w:rFonts w:asciiTheme="majorHAnsi" w:hAnsiTheme="majorHAnsi"/>
        </w:rPr>
      </w:pPr>
      <w:r>
        <w:rPr>
          <w:rFonts w:asciiTheme="majorHAnsi" w:hAnsiTheme="majorHAnsi"/>
        </w:rPr>
        <w:t xml:space="preserve">Finally, </w:t>
      </w:r>
      <w:r w:rsidR="007A3923">
        <w:rPr>
          <w:rFonts w:asciiTheme="majorHAnsi" w:hAnsiTheme="majorHAnsi"/>
        </w:rPr>
        <w:t xml:space="preserve">staff recommends that </w:t>
      </w:r>
      <w:r w:rsidR="00974EB0">
        <w:rPr>
          <w:rFonts w:asciiTheme="majorHAnsi" w:hAnsiTheme="majorHAnsi"/>
        </w:rPr>
        <w:t>PA</w:t>
      </w:r>
      <w:r w:rsidR="007A1A24">
        <w:rPr>
          <w:rFonts w:asciiTheme="majorHAnsi" w:hAnsiTheme="majorHAnsi"/>
        </w:rPr>
        <w:t xml:space="preserve">s and the Coordinating Committee consider inclusion of a </w:t>
      </w:r>
      <w:r w:rsidR="007A3923">
        <w:rPr>
          <w:rFonts w:asciiTheme="majorHAnsi" w:hAnsiTheme="majorHAnsi"/>
        </w:rPr>
        <w:t xml:space="preserve">process </w:t>
      </w:r>
      <w:r w:rsidR="007A1A24">
        <w:rPr>
          <w:rFonts w:asciiTheme="majorHAnsi" w:hAnsiTheme="majorHAnsi"/>
        </w:rPr>
        <w:t xml:space="preserve">that provides participants with </w:t>
      </w:r>
      <w:r w:rsidR="007A3923">
        <w:rPr>
          <w:rFonts w:asciiTheme="majorHAnsi" w:hAnsiTheme="majorHAnsi"/>
        </w:rPr>
        <w:t xml:space="preserve">an opportunity to </w:t>
      </w:r>
      <w:r w:rsidR="007A1A24">
        <w:rPr>
          <w:rFonts w:asciiTheme="majorHAnsi" w:hAnsiTheme="majorHAnsi"/>
        </w:rPr>
        <w:t xml:space="preserve">identify to PA staff any </w:t>
      </w:r>
      <w:r w:rsidR="007A3923">
        <w:rPr>
          <w:rFonts w:asciiTheme="majorHAnsi" w:hAnsiTheme="majorHAnsi"/>
        </w:rPr>
        <w:t xml:space="preserve">contractors that have an insurmountable conflict of interest based on their participation in </w:t>
      </w:r>
      <w:r w:rsidR="00CF367B">
        <w:rPr>
          <w:rFonts w:asciiTheme="majorHAnsi" w:hAnsiTheme="majorHAnsi"/>
        </w:rPr>
        <w:t>Coordinating</w:t>
      </w:r>
      <w:r w:rsidR="007A3923">
        <w:rPr>
          <w:rFonts w:asciiTheme="majorHAnsi" w:hAnsiTheme="majorHAnsi"/>
        </w:rPr>
        <w:t xml:space="preserve"> Committee processes. </w:t>
      </w:r>
      <w:r w:rsidR="004D0BFB">
        <w:rPr>
          <w:rFonts w:asciiTheme="majorHAnsi" w:hAnsiTheme="majorHAnsi"/>
        </w:rPr>
        <w:t xml:space="preserve">Legal and Energy Division staffs take the potential conflict of interest associated with </w:t>
      </w:r>
      <w:r w:rsidR="00CF367B">
        <w:rPr>
          <w:rFonts w:asciiTheme="majorHAnsi" w:hAnsiTheme="majorHAnsi"/>
        </w:rPr>
        <w:t>Coordinating</w:t>
      </w:r>
      <w:r w:rsidR="004D0BFB">
        <w:rPr>
          <w:rFonts w:asciiTheme="majorHAnsi" w:hAnsiTheme="majorHAnsi"/>
        </w:rPr>
        <w:t xml:space="preserve"> Committee work very seriously; consequently, i</w:t>
      </w:r>
      <w:r w:rsidR="007A3923">
        <w:rPr>
          <w:rFonts w:asciiTheme="majorHAnsi" w:hAnsiTheme="majorHAnsi"/>
        </w:rPr>
        <w:t xml:space="preserve">f the PAs and </w:t>
      </w:r>
      <w:r w:rsidR="00CF367B">
        <w:rPr>
          <w:rFonts w:asciiTheme="majorHAnsi" w:hAnsiTheme="majorHAnsi"/>
        </w:rPr>
        <w:t>Coordinating</w:t>
      </w:r>
      <w:r w:rsidR="007A3923">
        <w:rPr>
          <w:rFonts w:asciiTheme="majorHAnsi" w:hAnsiTheme="majorHAnsi"/>
        </w:rPr>
        <w:t xml:space="preserve"> Committee leadership opt not to include</w:t>
      </w:r>
      <w:r>
        <w:rPr>
          <w:rFonts w:asciiTheme="majorHAnsi" w:hAnsiTheme="majorHAnsi"/>
        </w:rPr>
        <w:t xml:space="preserve"> </w:t>
      </w:r>
      <w:r w:rsidR="007A3923">
        <w:rPr>
          <w:rFonts w:asciiTheme="majorHAnsi" w:hAnsiTheme="majorHAnsi"/>
        </w:rPr>
        <w:t>this step in the conflict of interest process they develop</w:t>
      </w:r>
      <w:r w:rsidR="004D0BFB">
        <w:rPr>
          <w:rFonts w:asciiTheme="majorHAnsi" w:hAnsiTheme="majorHAnsi"/>
        </w:rPr>
        <w:t xml:space="preserve"> in accordance with the other recommendations in this section</w:t>
      </w:r>
      <w:r w:rsidR="007A3923">
        <w:rPr>
          <w:rFonts w:asciiTheme="majorHAnsi" w:hAnsiTheme="majorHAnsi"/>
        </w:rPr>
        <w:t xml:space="preserve">, </w:t>
      </w:r>
      <w:r w:rsidR="004D0BFB">
        <w:rPr>
          <w:rFonts w:asciiTheme="majorHAnsi" w:hAnsiTheme="majorHAnsi"/>
        </w:rPr>
        <w:t xml:space="preserve">staff recommends that </w:t>
      </w:r>
      <w:r w:rsidR="007A3923">
        <w:rPr>
          <w:rFonts w:asciiTheme="majorHAnsi" w:hAnsiTheme="majorHAnsi"/>
        </w:rPr>
        <w:t xml:space="preserve">the CPUC </w:t>
      </w:r>
      <w:r w:rsidR="004D0BFB">
        <w:rPr>
          <w:rFonts w:asciiTheme="majorHAnsi" w:hAnsiTheme="majorHAnsi"/>
        </w:rPr>
        <w:t xml:space="preserve">may wish to consider ordering the Committee to incorporate this control into the </w:t>
      </w:r>
      <w:r w:rsidR="00CF367B">
        <w:rPr>
          <w:rFonts w:asciiTheme="majorHAnsi" w:hAnsiTheme="majorHAnsi"/>
        </w:rPr>
        <w:t>Coordinating</w:t>
      </w:r>
      <w:r w:rsidR="004D0BFB">
        <w:rPr>
          <w:rFonts w:asciiTheme="majorHAnsi" w:hAnsiTheme="majorHAnsi"/>
        </w:rPr>
        <w:t xml:space="preserve"> Committee and PA contracting process.  </w:t>
      </w:r>
      <w:r w:rsidR="007A3923">
        <w:rPr>
          <w:rFonts w:asciiTheme="majorHAnsi" w:hAnsiTheme="majorHAnsi"/>
        </w:rPr>
        <w:t xml:space="preserve"> </w:t>
      </w:r>
    </w:p>
    <w:p w:rsidR="00341B1A" w:rsidRDefault="00341B1A" w:rsidP="00341B1A">
      <w:pPr>
        <w:rPr>
          <w:rFonts w:asciiTheme="majorHAnsi" w:hAnsiTheme="majorHAnsi"/>
        </w:rPr>
      </w:pPr>
    </w:p>
    <w:p w:rsidR="006F1E9C" w:rsidRPr="00ED4F2D" w:rsidRDefault="006F1E9C">
      <w:pPr>
        <w:rPr>
          <w:rFonts w:asciiTheme="majorHAnsi" w:hAnsiTheme="majorHAnsi"/>
          <w:b/>
        </w:rPr>
      </w:pPr>
      <w:r w:rsidRPr="00ED4F2D">
        <w:rPr>
          <w:rFonts w:asciiTheme="majorHAnsi" w:hAnsiTheme="majorHAnsi"/>
          <w:b/>
        </w:rPr>
        <w:t xml:space="preserve">What </w:t>
      </w:r>
      <w:r w:rsidR="00341B1A">
        <w:rPr>
          <w:rFonts w:asciiTheme="majorHAnsi" w:hAnsiTheme="majorHAnsi"/>
          <w:b/>
        </w:rPr>
        <w:t>Information Should the</w:t>
      </w:r>
      <w:r w:rsidRPr="00ED4F2D">
        <w:rPr>
          <w:rFonts w:asciiTheme="majorHAnsi" w:hAnsiTheme="majorHAnsi"/>
          <w:b/>
        </w:rPr>
        <w:t xml:space="preserve"> Business Plan</w:t>
      </w:r>
      <w:r w:rsidR="00341B1A">
        <w:rPr>
          <w:rFonts w:asciiTheme="majorHAnsi" w:hAnsiTheme="majorHAnsi"/>
          <w:b/>
        </w:rPr>
        <w:t>s Include</w:t>
      </w:r>
      <w:r w:rsidRPr="00ED4F2D">
        <w:rPr>
          <w:rFonts w:asciiTheme="majorHAnsi" w:hAnsiTheme="majorHAnsi"/>
          <w:b/>
        </w:rPr>
        <w:t>?</w:t>
      </w:r>
    </w:p>
    <w:p w:rsidR="006F1E9C" w:rsidRPr="00114CFE" w:rsidRDefault="006F1E9C">
      <w:pPr>
        <w:rPr>
          <w:rFonts w:asciiTheme="majorHAnsi" w:hAnsiTheme="majorHAnsi"/>
        </w:rPr>
      </w:pPr>
    </w:p>
    <w:p w:rsidR="00CD09EA" w:rsidRDefault="00055916" w:rsidP="002B3E23">
      <w:pPr>
        <w:rPr>
          <w:rFonts w:asciiTheme="majorHAnsi" w:hAnsiTheme="majorHAnsi"/>
        </w:rPr>
      </w:pPr>
      <w:r>
        <w:rPr>
          <w:rFonts w:asciiTheme="majorHAnsi" w:hAnsiTheme="majorHAnsi"/>
        </w:rPr>
        <w:t>A Business P</w:t>
      </w:r>
      <w:r w:rsidR="00CD09EA">
        <w:rPr>
          <w:rFonts w:asciiTheme="majorHAnsi" w:hAnsiTheme="majorHAnsi"/>
        </w:rPr>
        <w:t xml:space="preserve">lan is a </w:t>
      </w:r>
      <w:bookmarkStart w:id="0" w:name="_GoBack"/>
      <w:bookmarkEnd w:id="0"/>
      <w:r w:rsidR="00CD09EA">
        <w:rPr>
          <w:rFonts w:asciiTheme="majorHAnsi" w:hAnsiTheme="majorHAnsi"/>
        </w:rPr>
        <w:t>“</w:t>
      </w:r>
      <w:r w:rsidR="006F1E9C" w:rsidRPr="00114CFE">
        <w:rPr>
          <w:rFonts w:asciiTheme="majorHAnsi" w:hAnsiTheme="majorHAnsi"/>
        </w:rPr>
        <w:t>roadmap</w:t>
      </w:r>
      <w:r w:rsidR="00CD09EA">
        <w:rPr>
          <w:rFonts w:asciiTheme="majorHAnsi" w:hAnsiTheme="majorHAnsi"/>
        </w:rPr>
        <w:t>”</w:t>
      </w:r>
      <w:r w:rsidR="006F1E9C" w:rsidRPr="00114CFE">
        <w:rPr>
          <w:rFonts w:asciiTheme="majorHAnsi" w:hAnsiTheme="majorHAnsi"/>
        </w:rPr>
        <w:t xml:space="preserve"> that explains </w:t>
      </w:r>
      <w:r w:rsidR="00604B67">
        <w:rPr>
          <w:rFonts w:asciiTheme="majorHAnsi" w:hAnsiTheme="majorHAnsi"/>
        </w:rPr>
        <w:t>how</w:t>
      </w:r>
      <w:r w:rsidR="006F1E9C" w:rsidRPr="00114CFE">
        <w:rPr>
          <w:rFonts w:asciiTheme="majorHAnsi" w:hAnsiTheme="majorHAnsi"/>
        </w:rPr>
        <w:t xml:space="preserve"> </w:t>
      </w:r>
      <w:r w:rsidR="00CD09EA">
        <w:rPr>
          <w:rFonts w:asciiTheme="majorHAnsi" w:hAnsiTheme="majorHAnsi"/>
        </w:rPr>
        <w:t>PAs</w:t>
      </w:r>
      <w:r w:rsidR="001F293F">
        <w:rPr>
          <w:rFonts w:asciiTheme="majorHAnsi" w:hAnsiTheme="majorHAnsi"/>
        </w:rPr>
        <w:t xml:space="preserve"> </w:t>
      </w:r>
      <w:r w:rsidR="00604B67">
        <w:rPr>
          <w:rFonts w:asciiTheme="majorHAnsi" w:hAnsiTheme="majorHAnsi"/>
        </w:rPr>
        <w:t>will achieve energy efficiency savings from the</w:t>
      </w:r>
      <w:r w:rsidR="00CD09EA">
        <w:rPr>
          <w:rFonts w:asciiTheme="majorHAnsi" w:hAnsiTheme="majorHAnsi"/>
        </w:rPr>
        <w:t>ir</w:t>
      </w:r>
      <w:r w:rsidR="00604B67">
        <w:rPr>
          <w:rFonts w:asciiTheme="majorHAnsi" w:hAnsiTheme="majorHAnsi"/>
        </w:rPr>
        <w:t xml:space="preserve"> </w:t>
      </w:r>
      <w:r w:rsidR="00CD09EA">
        <w:rPr>
          <w:rFonts w:asciiTheme="majorHAnsi" w:hAnsiTheme="majorHAnsi"/>
        </w:rPr>
        <w:t>efficiency efforts, in gen</w:t>
      </w:r>
      <w:r w:rsidR="00C47E13">
        <w:rPr>
          <w:rFonts w:asciiTheme="majorHAnsi" w:hAnsiTheme="majorHAnsi"/>
        </w:rPr>
        <w:t xml:space="preserve">eral and for each customer sector </w:t>
      </w:r>
      <w:r w:rsidR="00147A3E">
        <w:rPr>
          <w:rFonts w:asciiTheme="majorHAnsi" w:hAnsiTheme="majorHAnsi"/>
        </w:rPr>
        <w:t xml:space="preserve">(i.e. </w:t>
      </w:r>
      <w:r w:rsidR="001739AA">
        <w:rPr>
          <w:rFonts w:asciiTheme="majorHAnsi" w:hAnsiTheme="majorHAnsi"/>
        </w:rPr>
        <w:t>commercial, residential and industrial sectors among others</w:t>
      </w:r>
      <w:r w:rsidR="00147A3E">
        <w:rPr>
          <w:rFonts w:asciiTheme="majorHAnsi" w:hAnsiTheme="majorHAnsi"/>
        </w:rPr>
        <w:t>)</w:t>
      </w:r>
      <w:r w:rsidR="00CD09EA">
        <w:rPr>
          <w:rFonts w:asciiTheme="majorHAnsi" w:hAnsiTheme="majorHAnsi"/>
        </w:rPr>
        <w:t>, in a manner consistent with the CPUC’s Energy Efficiency Strategic Plan</w:t>
      </w:r>
      <w:r w:rsidR="00147A3E">
        <w:rPr>
          <w:rFonts w:asciiTheme="majorHAnsi" w:hAnsiTheme="majorHAnsi"/>
        </w:rPr>
        <w:t xml:space="preserve">. </w:t>
      </w:r>
      <w:r w:rsidR="00CD09EA">
        <w:rPr>
          <w:rFonts w:asciiTheme="majorHAnsi" w:hAnsiTheme="majorHAnsi"/>
        </w:rPr>
        <w:t xml:space="preserve"> </w:t>
      </w:r>
    </w:p>
    <w:p w:rsidR="00CD09EA" w:rsidRDefault="00CD09EA" w:rsidP="002B3E23">
      <w:pPr>
        <w:rPr>
          <w:rFonts w:asciiTheme="majorHAnsi" w:hAnsiTheme="majorHAnsi"/>
        </w:rPr>
      </w:pPr>
    </w:p>
    <w:p w:rsidR="00CD09EA" w:rsidRDefault="00CD09EA" w:rsidP="002B3E23">
      <w:pPr>
        <w:rPr>
          <w:rFonts w:asciiTheme="majorHAnsi" w:hAnsiTheme="majorHAnsi"/>
        </w:rPr>
      </w:pPr>
      <w:r>
        <w:rPr>
          <w:rFonts w:asciiTheme="majorHAnsi" w:hAnsiTheme="majorHAnsi"/>
        </w:rPr>
        <w:t xml:space="preserve">Consistent with Commission direction, and particularly in light of the conflict of interest concern raised </w:t>
      </w:r>
      <w:r w:rsidR="00A47D6D">
        <w:rPr>
          <w:rFonts w:asciiTheme="majorHAnsi" w:hAnsiTheme="majorHAnsi"/>
        </w:rPr>
        <w:t>herein</w:t>
      </w:r>
      <w:r>
        <w:rPr>
          <w:rFonts w:asciiTheme="majorHAnsi" w:hAnsiTheme="majorHAnsi"/>
        </w:rPr>
        <w:t>, the</w:t>
      </w:r>
      <w:r w:rsidR="001F293F">
        <w:rPr>
          <w:rFonts w:asciiTheme="majorHAnsi" w:hAnsiTheme="majorHAnsi"/>
        </w:rPr>
        <w:t xml:space="preserve"> Business P</w:t>
      </w:r>
      <w:r w:rsidR="002B3E23" w:rsidRPr="00114CFE">
        <w:rPr>
          <w:rFonts w:asciiTheme="majorHAnsi" w:hAnsiTheme="majorHAnsi"/>
        </w:rPr>
        <w:t>lans</w:t>
      </w:r>
      <w:r>
        <w:rPr>
          <w:rFonts w:asciiTheme="majorHAnsi" w:hAnsiTheme="majorHAnsi"/>
        </w:rPr>
        <w:t xml:space="preserve"> should contain</w:t>
      </w:r>
      <w:r w:rsidR="00911B49" w:rsidRPr="00114CFE">
        <w:rPr>
          <w:rFonts w:asciiTheme="majorHAnsi" w:hAnsiTheme="majorHAnsi"/>
        </w:rPr>
        <w:t xml:space="preserve"> high-level</w:t>
      </w:r>
      <w:r w:rsidRPr="00CD09EA">
        <w:rPr>
          <w:rFonts w:asciiTheme="majorHAnsi" w:hAnsiTheme="majorHAnsi"/>
        </w:rPr>
        <w:t xml:space="preserve"> </w:t>
      </w:r>
      <w:r w:rsidRPr="00114CFE">
        <w:rPr>
          <w:rFonts w:asciiTheme="majorHAnsi" w:hAnsiTheme="majorHAnsi"/>
        </w:rPr>
        <w:t>information</w:t>
      </w:r>
      <w:r>
        <w:rPr>
          <w:rFonts w:asciiTheme="majorHAnsi" w:hAnsiTheme="majorHAnsi"/>
        </w:rPr>
        <w:t xml:space="preserve"> about the PAs</w:t>
      </w:r>
      <w:r w:rsidR="00974EB0">
        <w:rPr>
          <w:rFonts w:asciiTheme="majorHAnsi" w:hAnsiTheme="majorHAnsi"/>
        </w:rPr>
        <w:t>’</w:t>
      </w:r>
      <w:r>
        <w:rPr>
          <w:rFonts w:asciiTheme="majorHAnsi" w:hAnsiTheme="majorHAnsi"/>
        </w:rPr>
        <w:t xml:space="preserve"> portfolios</w:t>
      </w:r>
      <w:r w:rsidR="00A47D6D">
        <w:rPr>
          <w:rFonts w:asciiTheme="majorHAnsi" w:hAnsiTheme="majorHAnsi"/>
        </w:rPr>
        <w:t>. H</w:t>
      </w:r>
      <w:r w:rsidR="00911B49" w:rsidRPr="00114CFE">
        <w:rPr>
          <w:rFonts w:asciiTheme="majorHAnsi" w:hAnsiTheme="majorHAnsi"/>
        </w:rPr>
        <w:t xml:space="preserve">owever, this high-level structure </w:t>
      </w:r>
      <w:r w:rsidR="002B3E23" w:rsidRPr="00114CFE">
        <w:rPr>
          <w:rFonts w:asciiTheme="majorHAnsi" w:hAnsiTheme="majorHAnsi"/>
        </w:rPr>
        <w:t xml:space="preserve">should not come at the expense of omitting </w:t>
      </w:r>
      <w:r w:rsidR="002B3E23" w:rsidRPr="001E5169">
        <w:rPr>
          <w:rFonts w:asciiTheme="majorHAnsi" w:hAnsiTheme="majorHAnsi"/>
          <w:i/>
        </w:rPr>
        <w:t>useful</w:t>
      </w:r>
      <w:r w:rsidR="002B3E23" w:rsidRPr="00A67DED">
        <w:rPr>
          <w:rFonts w:asciiTheme="majorHAnsi" w:hAnsiTheme="majorHAnsi"/>
          <w:i/>
        </w:rPr>
        <w:t xml:space="preserve"> </w:t>
      </w:r>
      <w:r w:rsidR="001E5169" w:rsidRPr="00A67DED">
        <w:rPr>
          <w:rFonts w:asciiTheme="majorHAnsi" w:hAnsiTheme="majorHAnsi"/>
          <w:i/>
        </w:rPr>
        <w:t>and essential</w:t>
      </w:r>
      <w:r w:rsidR="001E5169">
        <w:rPr>
          <w:rFonts w:asciiTheme="majorHAnsi" w:hAnsiTheme="majorHAnsi"/>
        </w:rPr>
        <w:t xml:space="preserve"> </w:t>
      </w:r>
      <w:r w:rsidR="002B3E23" w:rsidRPr="00114CFE">
        <w:rPr>
          <w:rFonts w:asciiTheme="majorHAnsi" w:hAnsiTheme="majorHAnsi"/>
        </w:rPr>
        <w:t xml:space="preserve">information that will allow the Coordinating Committee, sub-committees, </w:t>
      </w:r>
      <w:r w:rsidR="005F5B8B" w:rsidRPr="00114CFE">
        <w:rPr>
          <w:rFonts w:asciiTheme="majorHAnsi" w:hAnsiTheme="majorHAnsi"/>
        </w:rPr>
        <w:t xml:space="preserve">stakeholders, </w:t>
      </w:r>
      <w:r w:rsidR="002B3E23" w:rsidRPr="00114CFE">
        <w:rPr>
          <w:rFonts w:asciiTheme="majorHAnsi" w:hAnsiTheme="majorHAnsi"/>
        </w:rPr>
        <w:t>Commission staff</w:t>
      </w:r>
      <w:r w:rsidR="00B72F25">
        <w:rPr>
          <w:rFonts w:asciiTheme="majorHAnsi" w:hAnsiTheme="majorHAnsi"/>
        </w:rPr>
        <w:t>, and the Commission</w:t>
      </w:r>
      <w:r w:rsidR="002B3E23" w:rsidRPr="00114CFE">
        <w:rPr>
          <w:rFonts w:asciiTheme="majorHAnsi" w:hAnsiTheme="majorHAnsi"/>
        </w:rPr>
        <w:t xml:space="preserve"> </w:t>
      </w:r>
      <w:r w:rsidR="00911B49" w:rsidRPr="00114CFE">
        <w:rPr>
          <w:rFonts w:asciiTheme="majorHAnsi" w:hAnsiTheme="majorHAnsi"/>
        </w:rPr>
        <w:t xml:space="preserve">to clearly understand what </w:t>
      </w:r>
      <w:r w:rsidR="001739AA">
        <w:rPr>
          <w:rFonts w:asciiTheme="majorHAnsi" w:hAnsiTheme="majorHAnsi"/>
        </w:rPr>
        <w:t xml:space="preserve">will be accomplished if the </w:t>
      </w:r>
      <w:r w:rsidR="00227C34">
        <w:rPr>
          <w:rFonts w:asciiTheme="majorHAnsi" w:hAnsiTheme="majorHAnsi"/>
        </w:rPr>
        <w:t>B</w:t>
      </w:r>
      <w:r w:rsidR="001739AA">
        <w:rPr>
          <w:rFonts w:asciiTheme="majorHAnsi" w:hAnsiTheme="majorHAnsi"/>
        </w:rPr>
        <w:t xml:space="preserve">usiness </w:t>
      </w:r>
      <w:r w:rsidR="00227C34">
        <w:rPr>
          <w:rFonts w:asciiTheme="majorHAnsi" w:hAnsiTheme="majorHAnsi"/>
        </w:rPr>
        <w:t>P</w:t>
      </w:r>
      <w:r w:rsidR="001739AA">
        <w:rPr>
          <w:rFonts w:asciiTheme="majorHAnsi" w:hAnsiTheme="majorHAnsi"/>
        </w:rPr>
        <w:t xml:space="preserve">lan proposals are implemented. </w:t>
      </w:r>
    </w:p>
    <w:p w:rsidR="00CD09EA" w:rsidRDefault="00CD09EA" w:rsidP="002B3E23">
      <w:pPr>
        <w:rPr>
          <w:rFonts w:asciiTheme="majorHAnsi" w:hAnsiTheme="majorHAnsi"/>
        </w:rPr>
      </w:pPr>
    </w:p>
    <w:p w:rsidR="00C42ACB" w:rsidRDefault="002658B0" w:rsidP="002B3E23">
      <w:pPr>
        <w:rPr>
          <w:rFonts w:asciiTheme="majorHAnsi" w:hAnsiTheme="majorHAnsi"/>
        </w:rPr>
      </w:pPr>
      <w:r>
        <w:rPr>
          <w:rFonts w:asciiTheme="majorHAnsi" w:hAnsiTheme="majorHAnsi"/>
        </w:rPr>
        <w:t xml:space="preserve">The </w:t>
      </w:r>
      <w:r w:rsidR="00227C34">
        <w:rPr>
          <w:rFonts w:asciiTheme="majorHAnsi" w:hAnsiTheme="majorHAnsi"/>
        </w:rPr>
        <w:t>B</w:t>
      </w:r>
      <w:r>
        <w:rPr>
          <w:rFonts w:asciiTheme="majorHAnsi" w:hAnsiTheme="majorHAnsi"/>
        </w:rPr>
        <w:t xml:space="preserve">usiness </w:t>
      </w:r>
      <w:r w:rsidR="00227C34">
        <w:rPr>
          <w:rFonts w:asciiTheme="majorHAnsi" w:hAnsiTheme="majorHAnsi"/>
        </w:rPr>
        <w:t>P</w:t>
      </w:r>
      <w:r>
        <w:rPr>
          <w:rFonts w:asciiTheme="majorHAnsi" w:hAnsiTheme="majorHAnsi"/>
        </w:rPr>
        <w:t xml:space="preserve">lans </w:t>
      </w:r>
      <w:r w:rsidR="0053159D">
        <w:rPr>
          <w:rFonts w:asciiTheme="majorHAnsi" w:hAnsiTheme="majorHAnsi"/>
        </w:rPr>
        <w:t>should</w:t>
      </w:r>
      <w:r w:rsidR="00B72F25">
        <w:rPr>
          <w:rFonts w:asciiTheme="majorHAnsi" w:hAnsiTheme="majorHAnsi"/>
        </w:rPr>
        <w:t xml:space="preserve"> describe</w:t>
      </w:r>
      <w:r w:rsidR="002B3E23" w:rsidRPr="00114CFE">
        <w:rPr>
          <w:rFonts w:asciiTheme="majorHAnsi" w:hAnsiTheme="majorHAnsi"/>
        </w:rPr>
        <w:t xml:space="preserve"> how the overall portfolio and specific sectors will leverage </w:t>
      </w:r>
      <w:r w:rsidR="00911B49" w:rsidRPr="00114CFE">
        <w:rPr>
          <w:rFonts w:asciiTheme="majorHAnsi" w:hAnsiTheme="majorHAnsi"/>
        </w:rPr>
        <w:t>prior</w:t>
      </w:r>
      <w:r w:rsidR="002B3E23" w:rsidRPr="00114CFE">
        <w:rPr>
          <w:rFonts w:asciiTheme="majorHAnsi" w:hAnsiTheme="majorHAnsi"/>
        </w:rPr>
        <w:t xml:space="preserve"> programmatic </w:t>
      </w:r>
      <w:r w:rsidR="00911B49" w:rsidRPr="00114CFE">
        <w:rPr>
          <w:rFonts w:asciiTheme="majorHAnsi" w:hAnsiTheme="majorHAnsi"/>
        </w:rPr>
        <w:t xml:space="preserve">efforts </w:t>
      </w:r>
      <w:r w:rsidR="00B72F25">
        <w:rPr>
          <w:rFonts w:asciiTheme="majorHAnsi" w:hAnsiTheme="majorHAnsi"/>
        </w:rPr>
        <w:t xml:space="preserve">and develop new strategies </w:t>
      </w:r>
      <w:r w:rsidR="00911B49" w:rsidRPr="00114CFE">
        <w:rPr>
          <w:rFonts w:asciiTheme="majorHAnsi" w:hAnsiTheme="majorHAnsi"/>
        </w:rPr>
        <w:t>to achieve the state’s energy efficiency goals in the future.</w:t>
      </w:r>
      <w:r w:rsidR="009F649A" w:rsidRPr="00114CFE">
        <w:rPr>
          <w:rFonts w:asciiTheme="majorHAnsi" w:hAnsiTheme="majorHAnsi"/>
        </w:rPr>
        <w:t xml:space="preserve">  This includes specific references to how program administrators are addressing legislative mandates from AB 802, SB350, and AB 793</w:t>
      </w:r>
      <w:r w:rsidR="006100AC">
        <w:rPr>
          <w:rFonts w:asciiTheme="majorHAnsi" w:hAnsiTheme="majorHAnsi"/>
        </w:rPr>
        <w:t>, as well as other Commission directives</w:t>
      </w:r>
      <w:r w:rsidR="009F649A" w:rsidRPr="00114CFE">
        <w:rPr>
          <w:rFonts w:asciiTheme="majorHAnsi" w:hAnsiTheme="majorHAnsi"/>
        </w:rPr>
        <w:t xml:space="preserve">.   </w:t>
      </w:r>
    </w:p>
    <w:p w:rsidR="003138FF" w:rsidRDefault="003138FF" w:rsidP="002B3E23">
      <w:pPr>
        <w:rPr>
          <w:rFonts w:asciiTheme="majorHAnsi" w:hAnsiTheme="majorHAnsi"/>
        </w:rPr>
      </w:pPr>
    </w:p>
    <w:p w:rsidR="003138FF" w:rsidRDefault="003138FF" w:rsidP="002B3E23">
      <w:pPr>
        <w:rPr>
          <w:rFonts w:asciiTheme="majorHAnsi" w:hAnsiTheme="majorHAnsi"/>
        </w:rPr>
      </w:pPr>
    </w:p>
    <w:p w:rsidR="005910C8" w:rsidRPr="00114CFE" w:rsidRDefault="00227C34" w:rsidP="005910C8">
      <w:pPr>
        <w:rPr>
          <w:rFonts w:asciiTheme="majorHAnsi" w:hAnsiTheme="majorHAnsi"/>
        </w:rPr>
      </w:pPr>
      <w:r>
        <w:rPr>
          <w:rFonts w:asciiTheme="majorHAnsi" w:hAnsiTheme="majorHAnsi"/>
        </w:rPr>
        <w:t xml:space="preserve">In D. 15-10-028, the Commission provided guidance on the structure and content of the Business Plans filed by program administrators.  </w:t>
      </w:r>
      <w:r w:rsidR="005910C8" w:rsidRPr="00114CFE">
        <w:rPr>
          <w:rFonts w:asciiTheme="majorHAnsi" w:hAnsiTheme="majorHAnsi"/>
        </w:rPr>
        <w:t>The following recommendations flow from and augment specific Commission direction in D. 15-10-028</w:t>
      </w:r>
      <w:r w:rsidR="005E49A6">
        <w:rPr>
          <w:rFonts w:asciiTheme="majorHAnsi" w:hAnsiTheme="majorHAnsi"/>
        </w:rPr>
        <w:t>.</w:t>
      </w:r>
      <w:r w:rsidR="00114CFE">
        <w:rPr>
          <w:rStyle w:val="FootnoteReference"/>
          <w:rFonts w:asciiTheme="majorHAnsi" w:hAnsiTheme="majorHAnsi"/>
        </w:rPr>
        <w:footnoteReference w:id="6"/>
      </w:r>
      <w:r w:rsidR="005910C8" w:rsidRPr="00114CFE">
        <w:rPr>
          <w:rFonts w:asciiTheme="majorHAnsi" w:hAnsiTheme="majorHAnsi"/>
        </w:rPr>
        <w:t xml:space="preserve"> </w:t>
      </w:r>
    </w:p>
    <w:p w:rsidR="005910C8" w:rsidRPr="00114CFE" w:rsidRDefault="005910C8" w:rsidP="002B3E23">
      <w:pPr>
        <w:rPr>
          <w:rFonts w:asciiTheme="majorHAnsi" w:hAnsiTheme="majorHAnsi"/>
          <w:b/>
        </w:rPr>
      </w:pPr>
    </w:p>
    <w:p w:rsidR="00957299" w:rsidRDefault="00911B49" w:rsidP="00911B49">
      <w:pPr>
        <w:pStyle w:val="ListParagraph"/>
        <w:numPr>
          <w:ilvl w:val="0"/>
          <w:numId w:val="5"/>
        </w:numPr>
        <w:rPr>
          <w:rFonts w:asciiTheme="majorHAnsi" w:hAnsiTheme="majorHAnsi"/>
        </w:rPr>
      </w:pPr>
      <w:r w:rsidRPr="00114CFE">
        <w:rPr>
          <w:rFonts w:asciiTheme="majorHAnsi" w:hAnsiTheme="majorHAnsi"/>
          <w:u w:val="single"/>
        </w:rPr>
        <w:t xml:space="preserve">Portfolio summary and description of applicable intervention strategies </w:t>
      </w:r>
      <w:r w:rsidRPr="00114CFE">
        <w:rPr>
          <w:rFonts w:asciiTheme="majorHAnsi" w:hAnsiTheme="majorHAnsi"/>
        </w:rPr>
        <w:t xml:space="preserve">– In this section, program administrators shall summarize the portfolio of programs they intend to field.  </w:t>
      </w:r>
      <w:r w:rsidR="00957299" w:rsidRPr="00A27E82">
        <w:rPr>
          <w:rFonts w:asciiTheme="majorHAnsi" w:hAnsiTheme="majorHAnsi"/>
        </w:rPr>
        <w:t>The description should include</w:t>
      </w:r>
      <w:r w:rsidR="00957299">
        <w:rPr>
          <w:rFonts w:asciiTheme="majorHAnsi" w:hAnsiTheme="majorHAnsi"/>
        </w:rPr>
        <w:t>:</w:t>
      </w:r>
    </w:p>
    <w:p w:rsidR="00957299" w:rsidRDefault="00957299" w:rsidP="00957299">
      <w:pPr>
        <w:ind w:left="720"/>
        <w:rPr>
          <w:rFonts w:asciiTheme="majorHAnsi" w:hAnsiTheme="majorHAnsi"/>
        </w:rPr>
      </w:pPr>
    </w:p>
    <w:p w:rsidR="00911B49" w:rsidRPr="00A67DED" w:rsidRDefault="00911B49" w:rsidP="00A67DED">
      <w:pPr>
        <w:pStyle w:val="ListParagraph"/>
        <w:numPr>
          <w:ilvl w:val="0"/>
          <w:numId w:val="10"/>
        </w:numPr>
        <w:rPr>
          <w:rFonts w:asciiTheme="majorHAnsi" w:hAnsiTheme="majorHAnsi"/>
        </w:rPr>
      </w:pPr>
      <w:r w:rsidRPr="00957299">
        <w:rPr>
          <w:rFonts w:asciiTheme="majorHAnsi" w:hAnsiTheme="majorHAnsi"/>
        </w:rPr>
        <w:t xml:space="preserve">Why </w:t>
      </w:r>
      <w:r w:rsidRPr="00A67DED">
        <w:rPr>
          <w:rFonts w:asciiTheme="majorHAnsi" w:hAnsiTheme="majorHAnsi"/>
        </w:rPr>
        <w:t>specific intervention strategies have been selected</w:t>
      </w:r>
      <w:r w:rsidR="00957299" w:rsidRPr="00957299">
        <w:rPr>
          <w:rFonts w:asciiTheme="majorHAnsi" w:hAnsiTheme="majorHAnsi"/>
        </w:rPr>
        <w:t xml:space="preserve">; </w:t>
      </w:r>
      <w:r w:rsidR="00957299">
        <w:rPr>
          <w:rFonts w:asciiTheme="majorHAnsi" w:hAnsiTheme="majorHAnsi"/>
        </w:rPr>
        <w:t>h</w:t>
      </w:r>
      <w:r w:rsidR="00957299" w:rsidRPr="00A67DED">
        <w:rPr>
          <w:rFonts w:asciiTheme="majorHAnsi" w:hAnsiTheme="majorHAnsi"/>
        </w:rPr>
        <w:t>ow each strategy</w:t>
      </w:r>
      <w:r w:rsidRPr="00A67DED">
        <w:rPr>
          <w:rFonts w:asciiTheme="majorHAnsi" w:hAnsiTheme="majorHAnsi"/>
        </w:rPr>
        <w:t xml:space="preserve"> will be supported by what each program administrator has learned over</w:t>
      </w:r>
      <w:r w:rsidR="00A02A5D" w:rsidRPr="00A67DED">
        <w:rPr>
          <w:rFonts w:asciiTheme="majorHAnsi" w:hAnsiTheme="majorHAnsi"/>
        </w:rPr>
        <w:t>all</w:t>
      </w:r>
      <w:r w:rsidRPr="00A67DED">
        <w:rPr>
          <w:rFonts w:asciiTheme="majorHAnsi" w:hAnsiTheme="majorHAnsi"/>
        </w:rPr>
        <w:t xml:space="preserve"> about portfolio performance in prior cycles</w:t>
      </w:r>
      <w:r w:rsidR="00957299" w:rsidRPr="00A67DED">
        <w:rPr>
          <w:rFonts w:asciiTheme="majorHAnsi" w:hAnsiTheme="majorHAnsi"/>
        </w:rPr>
        <w:t>;</w:t>
      </w:r>
      <w:r w:rsidRPr="00A67DED">
        <w:rPr>
          <w:rFonts w:asciiTheme="majorHAnsi" w:hAnsiTheme="majorHAnsi"/>
        </w:rPr>
        <w:t xml:space="preserve"> and</w:t>
      </w:r>
      <w:r w:rsidR="00957299" w:rsidRPr="00A67DED">
        <w:rPr>
          <w:rFonts w:asciiTheme="majorHAnsi" w:hAnsiTheme="majorHAnsi"/>
        </w:rPr>
        <w:t>,</w:t>
      </w:r>
      <w:r w:rsidRPr="00A67DED">
        <w:rPr>
          <w:rFonts w:asciiTheme="majorHAnsi" w:hAnsiTheme="majorHAnsi"/>
        </w:rPr>
        <w:t xml:space="preserve"> how the selected strategies will </w:t>
      </w:r>
      <w:r w:rsidR="00A47D6D">
        <w:rPr>
          <w:rFonts w:asciiTheme="majorHAnsi" w:hAnsiTheme="majorHAnsi"/>
        </w:rPr>
        <w:t xml:space="preserve">continue or </w:t>
      </w:r>
      <w:r w:rsidRPr="00A67DED">
        <w:rPr>
          <w:rFonts w:asciiTheme="majorHAnsi" w:hAnsiTheme="majorHAnsi"/>
        </w:rPr>
        <w:t xml:space="preserve">augment </w:t>
      </w:r>
      <w:r w:rsidR="00957299" w:rsidRPr="00A67DED">
        <w:rPr>
          <w:rFonts w:asciiTheme="majorHAnsi" w:hAnsiTheme="majorHAnsi"/>
        </w:rPr>
        <w:t xml:space="preserve">program approaches </w:t>
      </w:r>
      <w:r w:rsidR="00A47D6D">
        <w:rPr>
          <w:rFonts w:asciiTheme="majorHAnsi" w:hAnsiTheme="majorHAnsi"/>
        </w:rPr>
        <w:t xml:space="preserve">that </w:t>
      </w:r>
      <w:r w:rsidR="00957299" w:rsidRPr="00A67DED">
        <w:rPr>
          <w:rFonts w:asciiTheme="majorHAnsi" w:hAnsiTheme="majorHAnsi"/>
        </w:rPr>
        <w:t xml:space="preserve">are </w:t>
      </w:r>
      <w:r w:rsidRPr="00A67DED">
        <w:rPr>
          <w:rFonts w:asciiTheme="majorHAnsi" w:hAnsiTheme="majorHAnsi"/>
        </w:rPr>
        <w:t>work</w:t>
      </w:r>
      <w:r w:rsidR="00957299" w:rsidRPr="00A67DED">
        <w:rPr>
          <w:rFonts w:asciiTheme="majorHAnsi" w:hAnsiTheme="majorHAnsi"/>
        </w:rPr>
        <w:t>ing</w:t>
      </w:r>
      <w:r w:rsidRPr="00A67DED">
        <w:rPr>
          <w:rFonts w:asciiTheme="majorHAnsi" w:hAnsiTheme="majorHAnsi"/>
        </w:rPr>
        <w:t xml:space="preserve"> and address identified </w:t>
      </w:r>
      <w:r w:rsidR="00A47D6D">
        <w:rPr>
          <w:rFonts w:asciiTheme="majorHAnsi" w:hAnsiTheme="majorHAnsi"/>
        </w:rPr>
        <w:t xml:space="preserve">market or intervention </w:t>
      </w:r>
      <w:r w:rsidRPr="00A67DED">
        <w:rPr>
          <w:rFonts w:asciiTheme="majorHAnsi" w:hAnsiTheme="majorHAnsi"/>
        </w:rPr>
        <w:t>weaknesses.</w:t>
      </w:r>
      <w:r w:rsidR="00974EB0">
        <w:rPr>
          <w:rFonts w:asciiTheme="majorHAnsi" w:hAnsiTheme="majorHAnsi"/>
        </w:rPr>
        <w:t xml:space="preserve"> PA</w:t>
      </w:r>
      <w:r w:rsidR="008838CF">
        <w:rPr>
          <w:rFonts w:asciiTheme="majorHAnsi" w:hAnsiTheme="majorHAnsi"/>
        </w:rPr>
        <w:t>s will also provide evidence to support the inclusion of under-performing programs in the portfolio when and where that is the case.</w:t>
      </w:r>
      <w:r w:rsidR="009F649A" w:rsidRPr="00A67DED">
        <w:rPr>
          <w:rFonts w:asciiTheme="majorHAnsi" w:hAnsiTheme="majorHAnsi"/>
        </w:rPr>
        <w:t xml:space="preserve">  </w:t>
      </w:r>
    </w:p>
    <w:p w:rsidR="00911B49" w:rsidRPr="00114CFE" w:rsidRDefault="00911B49" w:rsidP="00911B49">
      <w:pPr>
        <w:rPr>
          <w:rFonts w:asciiTheme="majorHAnsi" w:hAnsiTheme="majorHAnsi"/>
        </w:rPr>
      </w:pPr>
    </w:p>
    <w:p w:rsidR="00911B49" w:rsidRPr="00114CFE" w:rsidRDefault="00911B49" w:rsidP="00911B49">
      <w:pPr>
        <w:pStyle w:val="ListParagraph"/>
        <w:numPr>
          <w:ilvl w:val="0"/>
          <w:numId w:val="5"/>
        </w:numPr>
        <w:rPr>
          <w:rFonts w:asciiTheme="majorHAnsi" w:hAnsiTheme="majorHAnsi"/>
        </w:rPr>
      </w:pPr>
      <w:r w:rsidRPr="00114CFE">
        <w:rPr>
          <w:rFonts w:asciiTheme="majorHAnsi" w:hAnsiTheme="majorHAnsi"/>
          <w:u w:val="single"/>
        </w:rPr>
        <w:t>A chapter for each of six sectors  - In each of the sector-specific chapters</w:t>
      </w:r>
      <w:r w:rsidR="005E49A6">
        <w:rPr>
          <w:rFonts w:asciiTheme="majorHAnsi" w:hAnsiTheme="majorHAnsi"/>
          <w:u w:val="single"/>
        </w:rPr>
        <w:t>,</w:t>
      </w:r>
      <w:r w:rsidR="00317CD7" w:rsidRPr="00114CFE">
        <w:rPr>
          <w:rStyle w:val="FootnoteReference"/>
          <w:rFonts w:asciiTheme="majorHAnsi" w:hAnsiTheme="majorHAnsi"/>
          <w:u w:val="single"/>
        </w:rPr>
        <w:footnoteReference w:id="7"/>
      </w:r>
      <w:r w:rsidRPr="00114CFE">
        <w:rPr>
          <w:rFonts w:asciiTheme="majorHAnsi" w:hAnsiTheme="majorHAnsi"/>
          <w:u w:val="single"/>
        </w:rPr>
        <w:t xml:space="preserve"> program administrators shall include the following</w:t>
      </w:r>
      <w:r w:rsidRPr="00114CFE">
        <w:rPr>
          <w:rFonts w:asciiTheme="majorHAnsi" w:hAnsiTheme="majorHAnsi"/>
        </w:rPr>
        <w:t>:</w:t>
      </w:r>
    </w:p>
    <w:p w:rsidR="00911B49" w:rsidRPr="00114CFE" w:rsidRDefault="00911B49" w:rsidP="00911B49">
      <w:pPr>
        <w:rPr>
          <w:rFonts w:asciiTheme="majorHAnsi" w:hAnsiTheme="majorHAnsi"/>
        </w:rPr>
      </w:pPr>
    </w:p>
    <w:p w:rsidR="00911B49" w:rsidRPr="00114CFE" w:rsidRDefault="00911B49" w:rsidP="00A02A5D">
      <w:pPr>
        <w:pStyle w:val="ListParagraph"/>
        <w:numPr>
          <w:ilvl w:val="1"/>
          <w:numId w:val="5"/>
        </w:numPr>
        <w:rPr>
          <w:rFonts w:asciiTheme="majorHAnsi" w:hAnsiTheme="majorHAnsi"/>
        </w:rPr>
      </w:pPr>
      <w:r w:rsidRPr="00114CFE">
        <w:rPr>
          <w:rFonts w:asciiTheme="majorHAnsi" w:hAnsiTheme="majorHAnsi"/>
          <w:i/>
        </w:rPr>
        <w:t xml:space="preserve">Descriptions of overarching goals, strategies, and approaches for </w:t>
      </w:r>
      <w:r w:rsidR="00A02A5D" w:rsidRPr="00114CFE">
        <w:rPr>
          <w:rFonts w:asciiTheme="majorHAnsi" w:hAnsiTheme="majorHAnsi"/>
          <w:i/>
        </w:rPr>
        <w:t>each</w:t>
      </w:r>
      <w:r w:rsidRPr="00114CFE">
        <w:rPr>
          <w:rFonts w:asciiTheme="majorHAnsi" w:hAnsiTheme="majorHAnsi"/>
          <w:i/>
        </w:rPr>
        <w:t xml:space="preserve"> sector, as well as near-, mid-, and long-term strategic initiatives</w:t>
      </w:r>
      <w:r w:rsidR="00317CD7" w:rsidRPr="00114CFE">
        <w:rPr>
          <w:rFonts w:asciiTheme="majorHAnsi" w:hAnsiTheme="majorHAnsi"/>
          <w:i/>
        </w:rPr>
        <w:t xml:space="preserve"> and sector-specific intervention strategies</w:t>
      </w:r>
      <w:r w:rsidR="00A02A5D" w:rsidRPr="00114CFE">
        <w:rPr>
          <w:rFonts w:asciiTheme="majorHAnsi" w:hAnsiTheme="majorHAnsi"/>
          <w:i/>
        </w:rPr>
        <w:t>.</w:t>
      </w:r>
      <w:r w:rsidR="00A02A5D" w:rsidRPr="00114CFE">
        <w:rPr>
          <w:rFonts w:asciiTheme="majorHAnsi" w:hAnsiTheme="majorHAnsi"/>
        </w:rPr>
        <w:t xml:space="preserve">  These </w:t>
      </w:r>
      <w:r w:rsidR="00317CD7" w:rsidRPr="00114CFE">
        <w:rPr>
          <w:rFonts w:asciiTheme="majorHAnsi" w:hAnsiTheme="majorHAnsi"/>
        </w:rPr>
        <w:t>descriptions</w:t>
      </w:r>
      <w:r w:rsidR="00A02A5D" w:rsidRPr="00114CFE">
        <w:rPr>
          <w:rFonts w:asciiTheme="majorHAnsi" w:hAnsiTheme="majorHAnsi"/>
        </w:rPr>
        <w:t xml:space="preserve"> shall be informed by PA- and Commission-led evaluations conducted over the past </w:t>
      </w:r>
      <w:r w:rsidR="00227C34">
        <w:rPr>
          <w:rFonts w:asciiTheme="majorHAnsi" w:hAnsiTheme="majorHAnsi"/>
        </w:rPr>
        <w:t>10-12</w:t>
      </w:r>
      <w:r w:rsidR="00A02A5D" w:rsidRPr="00114CFE">
        <w:rPr>
          <w:rFonts w:asciiTheme="majorHAnsi" w:hAnsiTheme="majorHAnsi"/>
        </w:rPr>
        <w:t xml:space="preserve"> years within each sector, with program administrators demonstrating an understanding of that research and how their sector-specific strat</w:t>
      </w:r>
      <w:r w:rsidR="00317CD7" w:rsidRPr="00114CFE">
        <w:rPr>
          <w:rFonts w:asciiTheme="majorHAnsi" w:hAnsiTheme="majorHAnsi"/>
        </w:rPr>
        <w:t xml:space="preserve">egies are shaped by this work, including evidence as to why strategies were selected and how they will address and achieve </w:t>
      </w:r>
      <w:r w:rsidR="00974EB0">
        <w:rPr>
          <w:rFonts w:asciiTheme="majorHAnsi" w:hAnsiTheme="majorHAnsi"/>
        </w:rPr>
        <w:t>specific goals based on what PA</w:t>
      </w:r>
      <w:r w:rsidR="00317CD7" w:rsidRPr="00114CFE">
        <w:rPr>
          <w:rFonts w:asciiTheme="majorHAnsi" w:hAnsiTheme="majorHAnsi"/>
        </w:rPr>
        <w:t>s have learned from past programmatic efforts.  While high-level, the descriptions will include what has worked, what has</w:t>
      </w:r>
      <w:r w:rsidR="009F0A1D">
        <w:rPr>
          <w:rFonts w:asciiTheme="majorHAnsi" w:hAnsiTheme="majorHAnsi"/>
        </w:rPr>
        <w:t xml:space="preserve"> not</w:t>
      </w:r>
      <w:r w:rsidR="00317CD7" w:rsidRPr="00114CFE">
        <w:rPr>
          <w:rFonts w:asciiTheme="majorHAnsi" w:hAnsiTheme="majorHAnsi"/>
        </w:rPr>
        <w:t>, and how the</w:t>
      </w:r>
      <w:r w:rsidR="009F0A1D">
        <w:rPr>
          <w:rFonts w:asciiTheme="majorHAnsi" w:hAnsiTheme="majorHAnsi"/>
        </w:rPr>
        <w:t xml:space="preserve"> proposed Business P</w:t>
      </w:r>
      <w:r w:rsidR="00FC59C6">
        <w:rPr>
          <w:rFonts w:asciiTheme="majorHAnsi" w:hAnsiTheme="majorHAnsi"/>
        </w:rPr>
        <w:t>lan</w:t>
      </w:r>
      <w:r w:rsidR="00317CD7" w:rsidRPr="00114CFE">
        <w:rPr>
          <w:rFonts w:asciiTheme="majorHAnsi" w:hAnsiTheme="majorHAnsi"/>
        </w:rPr>
        <w:t xml:space="preserve"> strategies bridge that divide.</w:t>
      </w:r>
      <w:r w:rsidR="008838CF">
        <w:rPr>
          <w:rFonts w:asciiTheme="majorHAnsi" w:hAnsiTheme="majorHAnsi"/>
        </w:rPr>
        <w:t xml:space="preserve"> This will include a discussion of and evidence for, as relevant, why any underperforming programs remain in the portfolio.  </w:t>
      </w:r>
    </w:p>
    <w:p w:rsidR="009F649A" w:rsidRDefault="009F649A" w:rsidP="00A02A5D">
      <w:pPr>
        <w:pStyle w:val="ListParagraph"/>
        <w:numPr>
          <w:ilvl w:val="1"/>
          <w:numId w:val="5"/>
        </w:numPr>
        <w:rPr>
          <w:rFonts w:asciiTheme="majorHAnsi" w:hAnsiTheme="majorHAnsi"/>
        </w:rPr>
      </w:pPr>
      <w:r w:rsidRPr="00114CFE">
        <w:rPr>
          <w:rFonts w:asciiTheme="majorHAnsi" w:hAnsiTheme="majorHAnsi"/>
          <w:i/>
        </w:rPr>
        <w:lastRenderedPageBreak/>
        <w:t>A description of any pilots contemplated or underway for each sector.</w:t>
      </w:r>
      <w:r w:rsidRPr="00114CFE">
        <w:rPr>
          <w:rFonts w:asciiTheme="majorHAnsi" w:hAnsiTheme="majorHAnsi"/>
        </w:rPr>
        <w:t xml:space="preserve"> </w:t>
      </w:r>
      <w:r w:rsidR="003E2DB3">
        <w:rPr>
          <w:rFonts w:asciiTheme="majorHAnsi" w:hAnsiTheme="majorHAnsi"/>
        </w:rPr>
        <w:t>In their pilot descriptions, PA</w:t>
      </w:r>
      <w:r w:rsidRPr="00114CFE">
        <w:rPr>
          <w:rFonts w:asciiTheme="majorHAnsi" w:hAnsiTheme="majorHAnsi"/>
        </w:rPr>
        <w:t xml:space="preserve">s shall support the selection of each pilot with references to prior research and programmatic efforts that support why a pilot or pilots are the best approach to address broader sector efforts and achieving sector, portfolio and strategic plan goals as well as legislative mandates </w:t>
      </w:r>
      <w:r w:rsidR="00FC59C6">
        <w:rPr>
          <w:rFonts w:asciiTheme="majorHAnsi" w:hAnsiTheme="majorHAnsi"/>
        </w:rPr>
        <w:t xml:space="preserve">included in </w:t>
      </w:r>
      <w:r w:rsidRPr="00114CFE">
        <w:rPr>
          <w:rFonts w:asciiTheme="majorHAnsi" w:hAnsiTheme="majorHAnsi"/>
        </w:rPr>
        <w:t xml:space="preserve">AB802, SB350 and AB793.  </w:t>
      </w:r>
      <w:r w:rsidR="00C117F5">
        <w:rPr>
          <w:rFonts w:asciiTheme="majorHAnsi" w:hAnsiTheme="majorHAnsi"/>
        </w:rPr>
        <w:t>This would also include information on how completed emerging technology pilots inform future efforts outlined in the Business Plans.</w:t>
      </w:r>
    </w:p>
    <w:p w:rsidR="00650659" w:rsidRPr="00114CFE" w:rsidRDefault="00650659" w:rsidP="00A02A5D">
      <w:pPr>
        <w:pStyle w:val="ListParagraph"/>
        <w:numPr>
          <w:ilvl w:val="1"/>
          <w:numId w:val="5"/>
        </w:numPr>
        <w:rPr>
          <w:rFonts w:asciiTheme="majorHAnsi" w:hAnsiTheme="majorHAnsi"/>
        </w:rPr>
      </w:pPr>
      <w:r w:rsidRPr="00114CFE">
        <w:rPr>
          <w:rFonts w:asciiTheme="majorHAnsi" w:hAnsiTheme="majorHAnsi"/>
          <w:i/>
        </w:rPr>
        <w:t xml:space="preserve">Statewide </w:t>
      </w:r>
      <w:r w:rsidR="00CF367B">
        <w:rPr>
          <w:rFonts w:asciiTheme="majorHAnsi" w:hAnsiTheme="majorHAnsi"/>
          <w:i/>
        </w:rPr>
        <w:t>Coordination</w:t>
      </w:r>
      <w:r w:rsidRPr="00114CFE">
        <w:rPr>
          <w:rFonts w:asciiTheme="majorHAnsi" w:hAnsiTheme="majorHAnsi"/>
          <w:i/>
        </w:rPr>
        <w:t xml:space="preserve"> and cross-cutting efforts</w:t>
      </w:r>
      <w:r w:rsidRPr="00114CFE">
        <w:rPr>
          <w:rFonts w:asciiTheme="majorHAnsi" w:hAnsiTheme="majorHAnsi"/>
        </w:rPr>
        <w:t xml:space="preserve"> – program administrators shall describe which and how strategies are coordinated statewide and regionally, as well as how cross-cutting efforts are addressed.  Again, in these descriptions, program administrators </w:t>
      </w:r>
      <w:r w:rsidR="00FC59C6">
        <w:rPr>
          <w:rFonts w:asciiTheme="majorHAnsi" w:hAnsiTheme="majorHAnsi"/>
        </w:rPr>
        <w:t>should</w:t>
      </w:r>
      <w:r w:rsidRPr="00114CFE">
        <w:rPr>
          <w:rFonts w:asciiTheme="majorHAnsi" w:hAnsiTheme="majorHAnsi"/>
        </w:rPr>
        <w:t xml:space="preserve"> demonstrate a clear understanding of what has worked in the past, what remains to be achieved, and why these efforts were selected to minimize redundancy and achieve specific state efficiency goals, including those related to the strategic plan and legislative mandates.   </w:t>
      </w:r>
    </w:p>
    <w:p w:rsidR="0006127C" w:rsidRPr="00114CFE" w:rsidRDefault="0006127C" w:rsidP="0006127C">
      <w:pPr>
        <w:rPr>
          <w:rFonts w:asciiTheme="majorHAnsi" w:hAnsiTheme="majorHAnsi"/>
        </w:rPr>
      </w:pPr>
    </w:p>
    <w:p w:rsidR="00B35B21" w:rsidRDefault="009F649A" w:rsidP="00B35B21">
      <w:pPr>
        <w:pStyle w:val="ListParagraph"/>
        <w:numPr>
          <w:ilvl w:val="0"/>
          <w:numId w:val="5"/>
        </w:numPr>
        <w:rPr>
          <w:rFonts w:asciiTheme="majorHAnsi" w:hAnsiTheme="majorHAnsi"/>
        </w:rPr>
      </w:pPr>
      <w:r w:rsidRPr="00114CFE">
        <w:rPr>
          <w:rFonts w:asciiTheme="majorHAnsi" w:hAnsiTheme="majorHAnsi"/>
          <w:u w:val="single"/>
        </w:rPr>
        <w:t>Portfolio and sector level met</w:t>
      </w:r>
      <w:r w:rsidR="003E2DB3">
        <w:rPr>
          <w:rFonts w:asciiTheme="majorHAnsi" w:hAnsiTheme="majorHAnsi"/>
          <w:u w:val="single"/>
        </w:rPr>
        <w:t>rics for regulatory oversight (G</w:t>
      </w:r>
      <w:r w:rsidRPr="00114CFE">
        <w:rPr>
          <w:rFonts w:asciiTheme="majorHAnsi" w:hAnsiTheme="majorHAnsi"/>
          <w:u w:val="single"/>
        </w:rPr>
        <w:t xml:space="preserve">Wh, MW, therms, cost-effectiveness and other </w:t>
      </w:r>
      <w:r w:rsidR="00B35B21">
        <w:rPr>
          <w:rFonts w:asciiTheme="majorHAnsi" w:hAnsiTheme="majorHAnsi"/>
          <w:u w:val="single"/>
        </w:rPr>
        <w:t xml:space="preserve">parameters </w:t>
      </w:r>
      <w:r w:rsidR="00B35B21" w:rsidRPr="00114CFE">
        <w:rPr>
          <w:rFonts w:asciiTheme="majorHAnsi" w:hAnsiTheme="majorHAnsi"/>
          <w:u w:val="single"/>
        </w:rPr>
        <w:t xml:space="preserve"> </w:t>
      </w:r>
      <w:r w:rsidRPr="00114CFE">
        <w:rPr>
          <w:rFonts w:asciiTheme="majorHAnsi" w:hAnsiTheme="majorHAnsi"/>
          <w:u w:val="single"/>
        </w:rPr>
        <w:t>where applicable), including performance metrics for non-resource programs</w:t>
      </w:r>
      <w:r w:rsidRPr="00114CFE">
        <w:rPr>
          <w:rFonts w:asciiTheme="majorHAnsi" w:hAnsiTheme="majorHAnsi"/>
          <w:i/>
        </w:rPr>
        <w:t>.</w:t>
      </w:r>
      <w:r w:rsidRPr="00114CFE">
        <w:rPr>
          <w:rFonts w:asciiTheme="majorHAnsi" w:hAnsiTheme="majorHAnsi"/>
        </w:rPr>
        <w:t xml:space="preserve"> </w:t>
      </w:r>
      <w:r w:rsidR="004140C5">
        <w:rPr>
          <w:rFonts w:asciiTheme="majorHAnsi" w:hAnsiTheme="majorHAnsi"/>
        </w:rPr>
        <w:t>–</w:t>
      </w:r>
      <w:r w:rsidR="0006127C" w:rsidRPr="00114CFE">
        <w:rPr>
          <w:rFonts w:asciiTheme="majorHAnsi" w:hAnsiTheme="majorHAnsi"/>
        </w:rPr>
        <w:t xml:space="preserve"> </w:t>
      </w:r>
    </w:p>
    <w:p w:rsidR="00B35B21" w:rsidRDefault="00B35B21" w:rsidP="00F81B00">
      <w:pPr>
        <w:pStyle w:val="ListParagraph"/>
        <w:numPr>
          <w:ilvl w:val="1"/>
          <w:numId w:val="5"/>
        </w:numPr>
        <w:rPr>
          <w:rFonts w:asciiTheme="majorHAnsi" w:hAnsiTheme="majorHAnsi"/>
        </w:rPr>
      </w:pPr>
      <w:r w:rsidRPr="00B35B21">
        <w:rPr>
          <w:rFonts w:asciiTheme="majorHAnsi" w:hAnsiTheme="majorHAnsi"/>
        </w:rPr>
        <w:t xml:space="preserve">Implementation Plans and Annual Budget Advice Letters disaggregate to the program and measure level. </w:t>
      </w:r>
      <w:r w:rsidR="00984681">
        <w:rPr>
          <w:rFonts w:asciiTheme="majorHAnsi" w:hAnsiTheme="majorHAnsi"/>
        </w:rPr>
        <w:t xml:space="preserve">Therefore, </w:t>
      </w:r>
      <w:r w:rsidRPr="00B35B21">
        <w:rPr>
          <w:rFonts w:asciiTheme="majorHAnsi" w:hAnsiTheme="majorHAnsi"/>
        </w:rPr>
        <w:t xml:space="preserve">Business Plans should contain quantitative information in </w:t>
      </w:r>
      <w:r>
        <w:rPr>
          <w:rFonts w:asciiTheme="majorHAnsi" w:hAnsiTheme="majorHAnsi"/>
        </w:rPr>
        <w:t>tables, graphics and n</w:t>
      </w:r>
      <w:r w:rsidRPr="00B35B21">
        <w:rPr>
          <w:rFonts w:asciiTheme="majorHAnsi" w:hAnsiTheme="majorHAnsi"/>
        </w:rPr>
        <w:t xml:space="preserve">arrative, to support predictions or conclusions at a level that makes sense for the </w:t>
      </w:r>
      <w:r>
        <w:rPr>
          <w:rFonts w:asciiTheme="majorHAnsi" w:hAnsiTheme="majorHAnsi"/>
        </w:rPr>
        <w:t xml:space="preserve">portfolio and/or </w:t>
      </w:r>
      <w:r w:rsidRPr="00B35B21">
        <w:rPr>
          <w:rFonts w:asciiTheme="majorHAnsi" w:hAnsiTheme="majorHAnsi"/>
        </w:rPr>
        <w:t xml:space="preserve">sector overall.  For example, NTG cannot, nor should not, be aggregated to the sector level; nor should other parameters like EUL, rapidly-changing Tech Types, and installation counts.  </w:t>
      </w:r>
    </w:p>
    <w:p w:rsidR="00B35B21" w:rsidRDefault="00B35B21" w:rsidP="00F81B00">
      <w:pPr>
        <w:pStyle w:val="ListParagraph"/>
        <w:numPr>
          <w:ilvl w:val="1"/>
          <w:numId w:val="5"/>
        </w:numPr>
        <w:rPr>
          <w:rFonts w:asciiTheme="majorHAnsi" w:hAnsiTheme="majorHAnsi"/>
        </w:rPr>
      </w:pPr>
      <w:r w:rsidRPr="00B35B21">
        <w:rPr>
          <w:rFonts w:asciiTheme="majorHAnsi" w:hAnsiTheme="majorHAnsi"/>
        </w:rPr>
        <w:t>The Business Plans should make liberal, accurate, and well-reasoned use of data sources  such as</w:t>
      </w:r>
      <w:r>
        <w:rPr>
          <w:rFonts w:asciiTheme="majorHAnsi" w:hAnsiTheme="majorHAnsi"/>
        </w:rPr>
        <w:t>:</w:t>
      </w:r>
    </w:p>
    <w:p w:rsidR="00B35B21" w:rsidRDefault="00B35B21" w:rsidP="00F81B00">
      <w:pPr>
        <w:pStyle w:val="ListParagraph"/>
        <w:numPr>
          <w:ilvl w:val="2"/>
          <w:numId w:val="5"/>
        </w:numPr>
        <w:rPr>
          <w:rFonts w:asciiTheme="majorHAnsi" w:hAnsiTheme="majorHAnsi"/>
        </w:rPr>
      </w:pPr>
      <w:r w:rsidRPr="00B35B21">
        <w:rPr>
          <w:rFonts w:asciiTheme="majorHAnsi" w:hAnsiTheme="majorHAnsi"/>
        </w:rPr>
        <w:t xml:space="preserve"> </w:t>
      </w:r>
      <w:r>
        <w:rPr>
          <w:rFonts w:asciiTheme="majorHAnsi" w:hAnsiTheme="majorHAnsi"/>
        </w:rPr>
        <w:t>P</w:t>
      </w:r>
      <w:r w:rsidRPr="00B35B21">
        <w:rPr>
          <w:rFonts w:asciiTheme="majorHAnsi" w:hAnsiTheme="majorHAnsi"/>
        </w:rPr>
        <w:t xml:space="preserve">ast evaluation report data, </w:t>
      </w:r>
      <w:r>
        <w:rPr>
          <w:rFonts w:asciiTheme="majorHAnsi" w:hAnsiTheme="majorHAnsi"/>
        </w:rPr>
        <w:t>including recommendations</w:t>
      </w:r>
    </w:p>
    <w:p w:rsidR="00B35B21" w:rsidRDefault="00B35B21" w:rsidP="00F81B00">
      <w:pPr>
        <w:pStyle w:val="ListParagraph"/>
        <w:numPr>
          <w:ilvl w:val="2"/>
          <w:numId w:val="5"/>
        </w:numPr>
        <w:rPr>
          <w:rFonts w:asciiTheme="majorHAnsi" w:hAnsiTheme="majorHAnsi"/>
        </w:rPr>
      </w:pPr>
      <w:r>
        <w:rPr>
          <w:rFonts w:asciiTheme="majorHAnsi" w:hAnsiTheme="majorHAnsi"/>
        </w:rPr>
        <w:t>E</w:t>
      </w:r>
      <w:r w:rsidRPr="00B35B21">
        <w:rPr>
          <w:rFonts w:asciiTheme="majorHAnsi" w:hAnsiTheme="majorHAnsi"/>
        </w:rPr>
        <w:t xml:space="preserve">xplanations of how cost effectiveness and other parameters have been considered and calculated, </w:t>
      </w:r>
    </w:p>
    <w:p w:rsidR="00B35B21" w:rsidRDefault="00B35B21" w:rsidP="00F81B00">
      <w:pPr>
        <w:pStyle w:val="ListParagraph"/>
        <w:numPr>
          <w:ilvl w:val="2"/>
          <w:numId w:val="5"/>
        </w:numPr>
        <w:rPr>
          <w:rFonts w:asciiTheme="majorHAnsi" w:hAnsiTheme="majorHAnsi"/>
        </w:rPr>
      </w:pPr>
      <w:r>
        <w:rPr>
          <w:rFonts w:asciiTheme="majorHAnsi" w:hAnsiTheme="majorHAnsi"/>
        </w:rPr>
        <w:t>J</w:t>
      </w:r>
      <w:r w:rsidRPr="00B35B21">
        <w:rPr>
          <w:rFonts w:asciiTheme="majorHAnsi" w:hAnsiTheme="majorHAnsi"/>
        </w:rPr>
        <w:t xml:space="preserve">ustification for how the overall budget forecast is derived and accounted for in the near-, mid- and long-term. </w:t>
      </w:r>
    </w:p>
    <w:p w:rsidR="00B35B21" w:rsidRPr="00B35B21" w:rsidRDefault="00B35B21" w:rsidP="00F81B00">
      <w:pPr>
        <w:pStyle w:val="ListParagraph"/>
        <w:numPr>
          <w:ilvl w:val="1"/>
          <w:numId w:val="5"/>
        </w:numPr>
        <w:rPr>
          <w:rFonts w:asciiTheme="majorHAnsi" w:hAnsiTheme="majorHAnsi"/>
        </w:rPr>
      </w:pPr>
      <w:r w:rsidRPr="00B35B21">
        <w:rPr>
          <w:rFonts w:asciiTheme="majorHAnsi" w:hAnsiTheme="majorHAnsi"/>
        </w:rPr>
        <w:t xml:space="preserve">In addition to sector and program information, the plans will identify how their administrative budgets were derived, based on </w:t>
      </w:r>
      <w:r w:rsidR="00712502">
        <w:rPr>
          <w:rFonts w:asciiTheme="majorHAnsi" w:hAnsiTheme="majorHAnsi"/>
        </w:rPr>
        <w:t>findings from the UAFCB Auditors Report recommendations and LAJ Ruling for comments on the November 19. 2015 Energy Efficiency Accounting Workshop.</w:t>
      </w:r>
      <w:r w:rsidR="00712502">
        <w:rPr>
          <w:rStyle w:val="FootnoteReference"/>
          <w:rFonts w:asciiTheme="majorHAnsi" w:hAnsiTheme="majorHAnsi"/>
        </w:rPr>
        <w:footnoteReference w:id="8"/>
      </w:r>
      <w:r w:rsidRPr="00B35B21">
        <w:rPr>
          <w:rFonts w:asciiTheme="majorHAnsi" w:hAnsiTheme="majorHAnsi"/>
        </w:rPr>
        <w:t xml:space="preserve">    </w:t>
      </w:r>
    </w:p>
    <w:p w:rsidR="00B35B21" w:rsidRPr="00F81B00" w:rsidRDefault="00B35B21" w:rsidP="00F81B00">
      <w:pPr>
        <w:pStyle w:val="ListParagraph"/>
        <w:ind w:left="1440"/>
        <w:rPr>
          <w:rFonts w:asciiTheme="majorHAnsi" w:hAnsiTheme="majorHAnsi"/>
        </w:rPr>
      </w:pPr>
    </w:p>
    <w:p w:rsidR="009F649A" w:rsidRPr="00F81B00" w:rsidRDefault="00972BA2" w:rsidP="00F81B00">
      <w:pPr>
        <w:pStyle w:val="ListParagraph"/>
        <w:numPr>
          <w:ilvl w:val="1"/>
          <w:numId w:val="5"/>
        </w:numPr>
        <w:rPr>
          <w:rFonts w:asciiTheme="majorHAnsi" w:hAnsiTheme="majorHAnsi"/>
        </w:rPr>
      </w:pPr>
      <w:r w:rsidRPr="00F81B00">
        <w:rPr>
          <w:rFonts w:asciiTheme="majorHAnsi" w:hAnsiTheme="majorHAnsi"/>
        </w:rPr>
        <w:t xml:space="preserve">Commission direction in D. 15-10-028 relieved program administrators of the program performance metrics (PPM) and market transformation </w:t>
      </w:r>
      <w:r w:rsidRPr="00F81B00">
        <w:rPr>
          <w:rFonts w:asciiTheme="majorHAnsi" w:hAnsiTheme="majorHAnsi"/>
        </w:rPr>
        <w:lastRenderedPageBreak/>
        <w:t>indicators (MTI) established by resolution E-4385.    However, in its discussion of metrics</w:t>
      </w:r>
      <w:r w:rsidR="006172C2" w:rsidRPr="00F81B00">
        <w:rPr>
          <w:rFonts w:asciiTheme="majorHAnsi" w:hAnsiTheme="majorHAnsi"/>
        </w:rPr>
        <w:t xml:space="preserve"> related to business plans</w:t>
      </w:r>
      <w:r w:rsidRPr="00F81B00">
        <w:rPr>
          <w:rFonts w:asciiTheme="majorHAnsi" w:hAnsiTheme="majorHAnsi"/>
        </w:rPr>
        <w:t>, the Commission clearly states that program administrators “must establish up-front expectations for their activities” and that “business plans shall contain sector-level metrics”.</w:t>
      </w:r>
      <w:r w:rsidR="0006127C" w:rsidRPr="00F81B00">
        <w:rPr>
          <w:rFonts w:asciiTheme="majorHAnsi" w:hAnsiTheme="majorHAnsi"/>
        </w:rPr>
        <w:t xml:space="preserve">  These metrics </w:t>
      </w:r>
      <w:r w:rsidR="006172C2" w:rsidRPr="00F81B00">
        <w:rPr>
          <w:rFonts w:asciiTheme="majorHAnsi" w:hAnsiTheme="majorHAnsi"/>
        </w:rPr>
        <w:t>should</w:t>
      </w:r>
      <w:r w:rsidR="0006127C" w:rsidRPr="00F81B00">
        <w:rPr>
          <w:rFonts w:asciiTheme="majorHAnsi" w:hAnsiTheme="majorHAnsi"/>
        </w:rPr>
        <w:t xml:space="preserve"> be “appropriate benchmarks against which to measure program/strategy/intervention performance and should be designed to improve the chances of the metric and associated perspective of measuring it over time.”</w:t>
      </w:r>
      <w:r w:rsidR="0006127C" w:rsidRPr="00114CFE">
        <w:rPr>
          <w:rStyle w:val="FootnoteReference"/>
          <w:rFonts w:asciiTheme="majorHAnsi" w:hAnsiTheme="majorHAnsi"/>
        </w:rPr>
        <w:footnoteReference w:id="9"/>
      </w:r>
      <w:r w:rsidR="004052FE" w:rsidRPr="00F81B00">
        <w:rPr>
          <w:rFonts w:asciiTheme="majorHAnsi" w:hAnsiTheme="majorHAnsi"/>
        </w:rPr>
        <w:t xml:space="preserve">  </w:t>
      </w:r>
    </w:p>
    <w:p w:rsidR="005920AD" w:rsidRPr="00114CFE" w:rsidRDefault="005920AD" w:rsidP="005920AD">
      <w:pPr>
        <w:rPr>
          <w:rFonts w:asciiTheme="majorHAnsi" w:hAnsiTheme="majorHAnsi"/>
        </w:rPr>
      </w:pPr>
    </w:p>
    <w:p w:rsidR="004052FE" w:rsidRDefault="005920AD" w:rsidP="005920AD">
      <w:pPr>
        <w:ind w:left="720"/>
        <w:rPr>
          <w:rFonts w:asciiTheme="majorHAnsi" w:hAnsiTheme="majorHAnsi"/>
        </w:rPr>
      </w:pPr>
      <w:r w:rsidRPr="00114CFE">
        <w:rPr>
          <w:rFonts w:asciiTheme="majorHAnsi" w:hAnsiTheme="majorHAnsi"/>
        </w:rPr>
        <w:t xml:space="preserve">A key aspect of this Commission direction is the term “benchmarking”, which </w:t>
      </w:r>
      <w:r w:rsidR="003A36BA">
        <w:rPr>
          <w:rFonts w:asciiTheme="majorHAnsi" w:hAnsiTheme="majorHAnsi"/>
        </w:rPr>
        <w:t xml:space="preserve">links to </w:t>
      </w:r>
      <w:r w:rsidRPr="00114CFE">
        <w:rPr>
          <w:rFonts w:asciiTheme="majorHAnsi" w:hAnsiTheme="majorHAnsi"/>
        </w:rPr>
        <w:t xml:space="preserve">prior ratepayer-funded research and how program administrators will incorporate what they already know into the information </w:t>
      </w:r>
      <w:r w:rsidR="00E546B5">
        <w:rPr>
          <w:rFonts w:asciiTheme="majorHAnsi" w:hAnsiTheme="majorHAnsi"/>
        </w:rPr>
        <w:t>presented in the Business P</w:t>
      </w:r>
      <w:r w:rsidRPr="00114CFE">
        <w:rPr>
          <w:rFonts w:asciiTheme="majorHAnsi" w:hAnsiTheme="majorHAnsi"/>
        </w:rPr>
        <w:t>lans.  Benchmarki</w:t>
      </w:r>
      <w:r w:rsidR="00E546B5">
        <w:rPr>
          <w:rFonts w:asciiTheme="majorHAnsi" w:hAnsiTheme="majorHAnsi"/>
        </w:rPr>
        <w:t>ng is a logical component of a Business P</w:t>
      </w:r>
      <w:r w:rsidRPr="00114CFE">
        <w:rPr>
          <w:rFonts w:asciiTheme="majorHAnsi" w:hAnsiTheme="majorHAnsi"/>
        </w:rPr>
        <w:t>lan</w:t>
      </w:r>
      <w:r w:rsidR="003A36BA">
        <w:rPr>
          <w:rFonts w:asciiTheme="majorHAnsi" w:hAnsiTheme="majorHAnsi"/>
        </w:rPr>
        <w:t>; it allows</w:t>
      </w:r>
      <w:r w:rsidR="004052FE">
        <w:rPr>
          <w:rFonts w:asciiTheme="majorHAnsi" w:hAnsiTheme="majorHAnsi"/>
        </w:rPr>
        <w:t xml:space="preserve"> </w:t>
      </w:r>
      <w:r w:rsidR="003A36BA">
        <w:rPr>
          <w:rFonts w:asciiTheme="majorHAnsi" w:hAnsiTheme="majorHAnsi"/>
        </w:rPr>
        <w:t>measurement</w:t>
      </w:r>
      <w:r w:rsidRPr="00114CFE">
        <w:rPr>
          <w:rFonts w:asciiTheme="majorHAnsi" w:hAnsiTheme="majorHAnsi"/>
        </w:rPr>
        <w:t xml:space="preserve"> against industry standards and practices.  </w:t>
      </w:r>
      <w:r w:rsidR="000842A4">
        <w:rPr>
          <w:rFonts w:asciiTheme="majorHAnsi" w:hAnsiTheme="majorHAnsi"/>
        </w:rPr>
        <w:t>For</w:t>
      </w:r>
      <w:r w:rsidRPr="00114CFE">
        <w:rPr>
          <w:rFonts w:asciiTheme="majorHAnsi" w:hAnsiTheme="majorHAnsi"/>
        </w:rPr>
        <w:t xml:space="preserve"> program administrators, benchmarking </w:t>
      </w:r>
      <w:r w:rsidR="000842A4">
        <w:rPr>
          <w:rFonts w:asciiTheme="majorHAnsi" w:hAnsiTheme="majorHAnsi"/>
        </w:rPr>
        <w:t>provides a pathway to</w:t>
      </w:r>
      <w:r w:rsidRPr="00114CFE">
        <w:rPr>
          <w:rFonts w:asciiTheme="majorHAnsi" w:hAnsiTheme="majorHAnsi"/>
        </w:rPr>
        <w:t xml:space="preserve"> establishing clear (and, where appropriate, directional) </w:t>
      </w:r>
      <w:r w:rsidR="00FB1BF7" w:rsidRPr="00114CFE">
        <w:rPr>
          <w:rFonts w:asciiTheme="majorHAnsi" w:hAnsiTheme="majorHAnsi"/>
        </w:rPr>
        <w:t xml:space="preserve">baselines and related </w:t>
      </w:r>
      <w:r w:rsidRPr="00114CFE">
        <w:rPr>
          <w:rFonts w:asciiTheme="majorHAnsi" w:hAnsiTheme="majorHAnsi"/>
        </w:rPr>
        <w:t>metrics for their specific programmatic efforts against which they can reliably measure actual program performance.</w:t>
      </w:r>
      <w:r w:rsidR="00FB1BF7" w:rsidRPr="00114CFE">
        <w:rPr>
          <w:rFonts w:asciiTheme="majorHAnsi" w:hAnsiTheme="majorHAnsi"/>
        </w:rPr>
        <w:t xml:space="preserve">  </w:t>
      </w:r>
    </w:p>
    <w:p w:rsidR="004052FE" w:rsidRDefault="004052FE" w:rsidP="005920AD">
      <w:pPr>
        <w:ind w:left="720"/>
        <w:rPr>
          <w:rFonts w:asciiTheme="majorHAnsi" w:hAnsiTheme="majorHAnsi"/>
        </w:rPr>
      </w:pPr>
    </w:p>
    <w:p w:rsidR="00227C34" w:rsidRPr="00227C34" w:rsidRDefault="00FB1BF7" w:rsidP="004052FE">
      <w:pPr>
        <w:ind w:left="720"/>
        <w:rPr>
          <w:rFonts w:asciiTheme="majorHAnsi" w:hAnsiTheme="majorHAnsi"/>
        </w:rPr>
      </w:pPr>
      <w:r w:rsidRPr="00114CFE">
        <w:rPr>
          <w:rFonts w:asciiTheme="majorHAnsi" w:hAnsiTheme="majorHAnsi"/>
        </w:rPr>
        <w:t xml:space="preserve">These baselines and metrics are to be informed by what the program administrators already know about each sector, </w:t>
      </w:r>
      <w:r w:rsidR="001F293F">
        <w:rPr>
          <w:rFonts w:asciiTheme="majorHAnsi" w:hAnsiTheme="majorHAnsi"/>
        </w:rPr>
        <w:t xml:space="preserve">which </w:t>
      </w:r>
      <w:r w:rsidR="000842A4">
        <w:rPr>
          <w:rFonts w:asciiTheme="majorHAnsi" w:hAnsiTheme="majorHAnsi"/>
        </w:rPr>
        <w:t xml:space="preserve">would be included </w:t>
      </w:r>
      <w:r w:rsidR="001F293F">
        <w:rPr>
          <w:rFonts w:asciiTheme="majorHAnsi" w:hAnsiTheme="majorHAnsi"/>
        </w:rPr>
        <w:t>in the Business P</w:t>
      </w:r>
      <w:r w:rsidR="004052FE">
        <w:rPr>
          <w:rFonts w:asciiTheme="majorHAnsi" w:hAnsiTheme="majorHAnsi"/>
        </w:rPr>
        <w:t>lans</w:t>
      </w:r>
      <w:r w:rsidR="00E546B5">
        <w:rPr>
          <w:rFonts w:asciiTheme="majorHAnsi" w:hAnsiTheme="majorHAnsi"/>
        </w:rPr>
        <w:t>.  The Business P</w:t>
      </w:r>
      <w:r w:rsidR="004052FE" w:rsidRPr="00227C34">
        <w:rPr>
          <w:rFonts w:asciiTheme="majorHAnsi" w:hAnsiTheme="majorHAnsi"/>
        </w:rPr>
        <w:t xml:space="preserve">lans should clearly identify the sector-level metrics that are proposed for regulatory oversight associated with this recommendation, versus the more detailed metrics related to strategic plan </w:t>
      </w:r>
    </w:p>
    <w:p w:rsidR="004052FE" w:rsidRPr="00114CFE" w:rsidRDefault="004052FE" w:rsidP="004052FE">
      <w:pPr>
        <w:ind w:left="720"/>
        <w:rPr>
          <w:rFonts w:asciiTheme="majorHAnsi" w:hAnsiTheme="majorHAnsi"/>
        </w:rPr>
      </w:pPr>
      <w:r w:rsidRPr="00227C34">
        <w:rPr>
          <w:rFonts w:asciiTheme="majorHAnsi" w:hAnsiTheme="majorHAnsi"/>
        </w:rPr>
        <w:t>and/or legislative mandates discussed in recommendation #4 below that will not be formally reported by program administrators.</w:t>
      </w:r>
    </w:p>
    <w:p w:rsidR="005920AD" w:rsidRDefault="005920AD" w:rsidP="005920AD">
      <w:pPr>
        <w:ind w:left="720"/>
        <w:rPr>
          <w:rFonts w:asciiTheme="majorHAnsi" w:hAnsiTheme="majorHAnsi"/>
        </w:rPr>
      </w:pPr>
    </w:p>
    <w:p w:rsidR="000842A4" w:rsidRPr="00A67DED" w:rsidRDefault="000842A4" w:rsidP="00A67DED">
      <w:pPr>
        <w:pStyle w:val="ListParagraph"/>
        <w:numPr>
          <w:ilvl w:val="0"/>
          <w:numId w:val="5"/>
        </w:numPr>
        <w:rPr>
          <w:rFonts w:asciiTheme="majorHAnsi" w:hAnsiTheme="majorHAnsi"/>
        </w:rPr>
      </w:pPr>
      <w:r w:rsidRPr="00E546B5">
        <w:rPr>
          <w:rFonts w:asciiTheme="majorHAnsi" w:hAnsiTheme="majorHAnsi"/>
          <w:u w:val="single"/>
        </w:rPr>
        <w:t>Short and Long Term goals and milestones</w:t>
      </w:r>
      <w:r w:rsidRPr="00A67DED">
        <w:rPr>
          <w:rFonts w:asciiTheme="majorHAnsi" w:hAnsiTheme="majorHAnsi"/>
        </w:rPr>
        <w:t>:</w:t>
      </w:r>
      <w:r>
        <w:rPr>
          <w:rFonts w:asciiTheme="majorHAnsi" w:hAnsiTheme="majorHAnsi"/>
        </w:rPr>
        <w:t xml:space="preserve">  In their Business P</w:t>
      </w:r>
      <w:r w:rsidRPr="00114CFE">
        <w:rPr>
          <w:rFonts w:asciiTheme="majorHAnsi" w:hAnsiTheme="majorHAnsi"/>
        </w:rPr>
        <w:t>lans, program administrators sh</w:t>
      </w:r>
      <w:r>
        <w:rPr>
          <w:rFonts w:asciiTheme="majorHAnsi" w:hAnsiTheme="majorHAnsi"/>
        </w:rPr>
        <w:t>ould</w:t>
      </w:r>
      <w:r w:rsidRPr="00114CFE">
        <w:rPr>
          <w:rFonts w:asciiTheme="majorHAnsi" w:hAnsiTheme="majorHAnsi"/>
        </w:rPr>
        <w:t xml:space="preserve"> describe what they intend to accomplish in each sector in the short-term and long-term.  Although this may simply be stated as “for investment of Y dollars</w:t>
      </w:r>
      <w:r>
        <w:rPr>
          <w:rFonts w:asciiTheme="majorHAnsi" w:hAnsiTheme="majorHAnsi"/>
        </w:rPr>
        <w:t>,</w:t>
      </w:r>
      <w:r w:rsidRPr="00114CFE">
        <w:rPr>
          <w:rFonts w:asciiTheme="majorHAnsi" w:hAnsiTheme="majorHAnsi"/>
        </w:rPr>
        <w:t xml:space="preserve"> we can expect to achieve X towards Strategic Plan objectives from Z programs/strategies/interventions…”</w:t>
      </w:r>
      <w:r w:rsidRPr="00114CFE">
        <w:rPr>
          <w:rStyle w:val="FootnoteReference"/>
          <w:rFonts w:asciiTheme="majorHAnsi" w:hAnsiTheme="majorHAnsi"/>
        </w:rPr>
        <w:footnoteReference w:id="10"/>
      </w:r>
      <w:r w:rsidRPr="00114CFE">
        <w:rPr>
          <w:rFonts w:asciiTheme="majorHAnsi" w:hAnsiTheme="majorHAnsi"/>
        </w:rPr>
        <w:t>, there is an expectation the metrics will be related to achieving the goals of the strategic plan and specific legislative mandates</w:t>
      </w:r>
      <w:r>
        <w:rPr>
          <w:rFonts w:asciiTheme="majorHAnsi" w:hAnsiTheme="majorHAnsi"/>
        </w:rPr>
        <w:t xml:space="preserve"> described earlier</w:t>
      </w:r>
      <w:r w:rsidRPr="00114CFE">
        <w:rPr>
          <w:rFonts w:asciiTheme="majorHAnsi" w:hAnsiTheme="majorHAnsi"/>
        </w:rPr>
        <w:t xml:space="preserve">. </w:t>
      </w:r>
      <w:r w:rsidR="004052FE">
        <w:rPr>
          <w:rFonts w:asciiTheme="majorHAnsi" w:hAnsiTheme="majorHAnsi"/>
        </w:rPr>
        <w:br/>
      </w:r>
      <w:r w:rsidR="004052FE">
        <w:rPr>
          <w:rFonts w:asciiTheme="majorHAnsi" w:hAnsiTheme="majorHAnsi"/>
        </w:rPr>
        <w:br/>
      </w:r>
      <w:r w:rsidRPr="00227C34">
        <w:rPr>
          <w:rFonts w:asciiTheme="majorHAnsi" w:hAnsiTheme="majorHAnsi"/>
        </w:rPr>
        <w:t>These metrics</w:t>
      </w:r>
      <w:r w:rsidR="00876AD6" w:rsidRPr="00227C34">
        <w:rPr>
          <w:rFonts w:asciiTheme="majorHAnsi" w:hAnsiTheme="majorHAnsi"/>
        </w:rPr>
        <w:t>, which will not be formally reported like the metrics identified in recommendation #3</w:t>
      </w:r>
      <w:r w:rsidRPr="00227C34">
        <w:rPr>
          <w:rFonts w:asciiTheme="majorHAnsi" w:hAnsiTheme="majorHAnsi"/>
        </w:rPr>
        <w:t>:</w:t>
      </w:r>
    </w:p>
    <w:p w:rsidR="000842A4" w:rsidRDefault="000842A4" w:rsidP="00186DC9">
      <w:pPr>
        <w:ind w:left="720"/>
        <w:rPr>
          <w:rFonts w:asciiTheme="majorHAnsi" w:hAnsiTheme="majorHAnsi"/>
        </w:rPr>
      </w:pPr>
    </w:p>
    <w:p w:rsidR="000842A4" w:rsidRDefault="000842A4" w:rsidP="00A67DED">
      <w:pPr>
        <w:ind w:left="1440"/>
        <w:rPr>
          <w:rFonts w:asciiTheme="majorHAnsi" w:hAnsiTheme="majorHAnsi"/>
        </w:rPr>
      </w:pPr>
      <w:r>
        <w:rPr>
          <w:rFonts w:asciiTheme="majorHAnsi" w:hAnsiTheme="majorHAnsi"/>
        </w:rPr>
        <w:t>a) D</w:t>
      </w:r>
      <w:r w:rsidR="00186DC9" w:rsidRPr="00114CFE">
        <w:rPr>
          <w:rFonts w:asciiTheme="majorHAnsi" w:hAnsiTheme="majorHAnsi"/>
        </w:rPr>
        <w:t>o not have to speak to specific numbers of widgets; rathe</w:t>
      </w:r>
      <w:r w:rsidR="001F293F">
        <w:rPr>
          <w:rFonts w:asciiTheme="majorHAnsi" w:hAnsiTheme="majorHAnsi"/>
        </w:rPr>
        <w:t>r, while remaining high-level, B</w:t>
      </w:r>
      <w:r w:rsidR="00186DC9" w:rsidRPr="00114CFE">
        <w:rPr>
          <w:rFonts w:asciiTheme="majorHAnsi" w:hAnsiTheme="majorHAnsi"/>
        </w:rPr>
        <w:t>usin</w:t>
      </w:r>
      <w:r w:rsidR="001F293F">
        <w:rPr>
          <w:rFonts w:asciiTheme="majorHAnsi" w:hAnsiTheme="majorHAnsi"/>
        </w:rPr>
        <w:t>ess P</w:t>
      </w:r>
      <w:r w:rsidR="00186DC9" w:rsidRPr="00114CFE">
        <w:rPr>
          <w:rFonts w:asciiTheme="majorHAnsi" w:hAnsiTheme="majorHAnsi"/>
        </w:rPr>
        <w:t xml:space="preserve">lan metrics can still describe </w:t>
      </w:r>
      <w:r w:rsidR="0043621A" w:rsidRPr="00114CFE">
        <w:rPr>
          <w:rFonts w:asciiTheme="majorHAnsi" w:hAnsiTheme="majorHAnsi"/>
        </w:rPr>
        <w:t xml:space="preserve">what program administrators expect to achieve over certain timeframes, as </w:t>
      </w:r>
      <w:r w:rsidR="0043621A" w:rsidRPr="00114CFE">
        <w:rPr>
          <w:rFonts w:asciiTheme="majorHAnsi" w:hAnsiTheme="majorHAnsi"/>
        </w:rPr>
        <w:lastRenderedPageBreak/>
        <w:t xml:space="preserve">well as </w:t>
      </w:r>
      <w:r w:rsidR="00186DC9" w:rsidRPr="00114CFE">
        <w:rPr>
          <w:rFonts w:asciiTheme="majorHAnsi" w:hAnsiTheme="majorHAnsi"/>
        </w:rPr>
        <w:t>the type and number of customers who will be reached in the sector</w:t>
      </w:r>
      <w:r w:rsidR="00B677C0" w:rsidRPr="00114CFE">
        <w:rPr>
          <w:rFonts w:asciiTheme="majorHAnsi" w:hAnsiTheme="majorHAnsi"/>
        </w:rPr>
        <w:t>, where these customers are located (i.e. where savings will come from “geographically”)</w:t>
      </w:r>
      <w:r w:rsidR="00031564" w:rsidRPr="00114CFE">
        <w:rPr>
          <w:rFonts w:asciiTheme="majorHAnsi" w:hAnsiTheme="majorHAnsi"/>
        </w:rPr>
        <w:t xml:space="preserve">, </w:t>
      </w:r>
      <w:r w:rsidR="0043621A" w:rsidRPr="00114CFE">
        <w:rPr>
          <w:rFonts w:asciiTheme="majorHAnsi" w:hAnsiTheme="majorHAnsi"/>
        </w:rPr>
        <w:t>and</w:t>
      </w:r>
      <w:r w:rsidR="00031564" w:rsidRPr="00114CFE">
        <w:rPr>
          <w:rFonts w:asciiTheme="majorHAnsi" w:hAnsiTheme="majorHAnsi"/>
        </w:rPr>
        <w:t xml:space="preserve"> anticipated milestones for the sector as </w:t>
      </w:r>
      <w:r w:rsidR="0043621A" w:rsidRPr="00114CFE">
        <w:rPr>
          <w:rFonts w:asciiTheme="majorHAnsi" w:hAnsiTheme="majorHAnsi"/>
        </w:rPr>
        <w:t xml:space="preserve">sector-level efforts are </w:t>
      </w:r>
      <w:r w:rsidR="00031564" w:rsidRPr="00114CFE">
        <w:rPr>
          <w:rFonts w:asciiTheme="majorHAnsi" w:hAnsiTheme="majorHAnsi"/>
        </w:rPr>
        <w:t xml:space="preserve">implemented.   </w:t>
      </w:r>
      <w:r w:rsidR="00C117F5" w:rsidRPr="00C117F5">
        <w:rPr>
          <w:rFonts w:asciiTheme="majorHAnsi" w:hAnsiTheme="majorHAnsi"/>
        </w:rPr>
        <w:t xml:space="preserve">  </w:t>
      </w:r>
    </w:p>
    <w:p w:rsidR="000842A4" w:rsidRDefault="000842A4" w:rsidP="00186DC9">
      <w:pPr>
        <w:ind w:left="720"/>
        <w:rPr>
          <w:rFonts w:asciiTheme="majorHAnsi" w:hAnsiTheme="majorHAnsi"/>
        </w:rPr>
      </w:pPr>
    </w:p>
    <w:p w:rsidR="001F293F" w:rsidRDefault="001F637F" w:rsidP="00A67DED">
      <w:pPr>
        <w:ind w:left="1440"/>
        <w:rPr>
          <w:rFonts w:asciiTheme="majorHAnsi" w:hAnsiTheme="majorHAnsi"/>
        </w:rPr>
      </w:pPr>
      <w:r>
        <w:rPr>
          <w:rFonts w:asciiTheme="majorHAnsi" w:hAnsiTheme="majorHAnsi"/>
        </w:rPr>
        <w:t>b) S</w:t>
      </w:r>
      <w:r w:rsidR="00031564" w:rsidRPr="00114CFE">
        <w:rPr>
          <w:rFonts w:asciiTheme="majorHAnsi" w:hAnsiTheme="majorHAnsi"/>
        </w:rPr>
        <w:t xml:space="preserve">hould </w:t>
      </w:r>
      <w:r>
        <w:rPr>
          <w:rFonts w:asciiTheme="majorHAnsi" w:hAnsiTheme="majorHAnsi"/>
        </w:rPr>
        <w:t>include</w:t>
      </w:r>
      <w:r w:rsidRPr="00114CFE">
        <w:rPr>
          <w:rFonts w:asciiTheme="majorHAnsi" w:hAnsiTheme="majorHAnsi"/>
        </w:rPr>
        <w:t xml:space="preserve"> </w:t>
      </w:r>
      <w:r w:rsidR="00031564" w:rsidRPr="00114CFE">
        <w:rPr>
          <w:rFonts w:asciiTheme="majorHAnsi" w:hAnsiTheme="majorHAnsi"/>
        </w:rPr>
        <w:t>appropriate benchmarks that will be “valuable to implementers as well as other stakeholders to improve the chan</w:t>
      </w:r>
      <w:r w:rsidR="00147A3E">
        <w:rPr>
          <w:rFonts w:asciiTheme="majorHAnsi" w:hAnsiTheme="majorHAnsi"/>
        </w:rPr>
        <w:t>c</w:t>
      </w:r>
      <w:r w:rsidR="00031564" w:rsidRPr="00114CFE">
        <w:rPr>
          <w:rFonts w:asciiTheme="majorHAnsi" w:hAnsiTheme="majorHAnsi"/>
        </w:rPr>
        <w:t xml:space="preserve">es of longevity of the metric”, and allow the Coordinating Committee, stakeholders and Commission staff to clearly measure </w:t>
      </w:r>
      <w:r w:rsidR="000E38B4">
        <w:rPr>
          <w:rFonts w:asciiTheme="majorHAnsi" w:hAnsiTheme="majorHAnsi"/>
        </w:rPr>
        <w:t>”</w:t>
      </w:r>
      <w:r w:rsidR="00031564" w:rsidRPr="00114CFE">
        <w:rPr>
          <w:rFonts w:asciiTheme="majorHAnsi" w:hAnsiTheme="majorHAnsi"/>
        </w:rPr>
        <w:t xml:space="preserve">program/strategy/intervention performance” when </w:t>
      </w:r>
      <w:r w:rsidR="001F293F">
        <w:rPr>
          <w:rFonts w:asciiTheme="majorHAnsi" w:hAnsiTheme="majorHAnsi"/>
        </w:rPr>
        <w:t>considered along with the more detailed</w:t>
      </w:r>
      <w:r w:rsidR="00031564" w:rsidRPr="00114CFE">
        <w:rPr>
          <w:rFonts w:asciiTheme="majorHAnsi" w:hAnsiTheme="majorHAnsi"/>
        </w:rPr>
        <w:t xml:space="preserve"> metrics to be presented in implementation plans. </w:t>
      </w:r>
      <w:r w:rsidR="008B1715" w:rsidRPr="00114CFE">
        <w:rPr>
          <w:rFonts w:asciiTheme="majorHAnsi" w:hAnsiTheme="majorHAnsi"/>
        </w:rPr>
        <w:t xml:space="preserve">  </w:t>
      </w:r>
      <w:r w:rsidR="00147A3E">
        <w:rPr>
          <w:rFonts w:asciiTheme="majorHAnsi" w:hAnsiTheme="majorHAnsi"/>
        </w:rPr>
        <w:t xml:space="preserve">The challenge for all as Business Plan development and review gets underway will be to keep this information </w:t>
      </w:r>
      <w:r w:rsidR="00A47D6D">
        <w:rPr>
          <w:rFonts w:asciiTheme="majorHAnsi" w:hAnsiTheme="majorHAnsi"/>
        </w:rPr>
        <w:t>sufficient</w:t>
      </w:r>
      <w:r w:rsidR="00147A3E">
        <w:rPr>
          <w:rFonts w:asciiTheme="majorHAnsi" w:hAnsiTheme="majorHAnsi"/>
        </w:rPr>
        <w:t xml:space="preserve"> for useful review of the Business Plans, when filed, while preventing specific information from giving certain market actors an advantage in bidding on work at a later date.</w:t>
      </w:r>
    </w:p>
    <w:p w:rsidR="001F293F" w:rsidRDefault="001F293F" w:rsidP="00186DC9">
      <w:pPr>
        <w:ind w:left="720"/>
        <w:rPr>
          <w:rFonts w:asciiTheme="majorHAnsi" w:hAnsiTheme="majorHAnsi"/>
        </w:rPr>
      </w:pPr>
    </w:p>
    <w:p w:rsidR="001F637F" w:rsidRDefault="001F637F" w:rsidP="00A67DED">
      <w:pPr>
        <w:ind w:left="1440"/>
        <w:rPr>
          <w:rFonts w:asciiTheme="majorHAnsi" w:hAnsiTheme="majorHAnsi"/>
        </w:rPr>
      </w:pPr>
      <w:r>
        <w:rPr>
          <w:rFonts w:asciiTheme="majorHAnsi" w:hAnsiTheme="majorHAnsi"/>
        </w:rPr>
        <w:t xml:space="preserve">c) Should </w:t>
      </w:r>
      <w:r w:rsidR="008B1715" w:rsidRPr="00114CFE">
        <w:rPr>
          <w:rFonts w:asciiTheme="majorHAnsi" w:hAnsiTheme="majorHAnsi"/>
        </w:rPr>
        <w:t xml:space="preserve">allow for consistent and reliable program tracking </w:t>
      </w:r>
      <w:r>
        <w:rPr>
          <w:rFonts w:asciiTheme="majorHAnsi" w:hAnsiTheme="majorHAnsi"/>
        </w:rPr>
        <w:t xml:space="preserve">by </w:t>
      </w:r>
      <w:r w:rsidR="008B1715" w:rsidRPr="00114CFE">
        <w:rPr>
          <w:rFonts w:asciiTheme="majorHAnsi" w:hAnsiTheme="majorHAnsi"/>
        </w:rPr>
        <w:t>program administrators</w:t>
      </w:r>
      <w:r w:rsidR="000E38B4">
        <w:rPr>
          <w:rFonts w:asciiTheme="majorHAnsi" w:hAnsiTheme="majorHAnsi"/>
        </w:rPr>
        <w:t>,</w:t>
      </w:r>
      <w:r w:rsidR="008B1715" w:rsidRPr="00114CFE">
        <w:rPr>
          <w:rFonts w:asciiTheme="majorHAnsi" w:hAnsiTheme="majorHAnsi"/>
        </w:rPr>
        <w:t xml:space="preserve"> as well as complement EM&amp;V efforts undertaken by the program admi</w:t>
      </w:r>
      <w:r w:rsidR="00F81B00">
        <w:rPr>
          <w:rFonts w:asciiTheme="majorHAnsi" w:hAnsiTheme="majorHAnsi"/>
        </w:rPr>
        <w:t>nistrators and Commission staff, and be consistent with specifications set forth by Energy Division.</w:t>
      </w:r>
      <w:r w:rsidR="008B1715" w:rsidRPr="00114CFE">
        <w:rPr>
          <w:rFonts w:asciiTheme="majorHAnsi" w:hAnsiTheme="majorHAnsi"/>
        </w:rPr>
        <w:t xml:space="preserve"> </w:t>
      </w:r>
    </w:p>
    <w:p w:rsidR="001F637F" w:rsidRDefault="001F637F" w:rsidP="00A67DED">
      <w:pPr>
        <w:ind w:left="1440"/>
        <w:rPr>
          <w:rFonts w:asciiTheme="majorHAnsi" w:hAnsiTheme="majorHAnsi"/>
        </w:rPr>
      </w:pPr>
    </w:p>
    <w:p w:rsidR="008B1715" w:rsidRDefault="001F637F" w:rsidP="001F637F">
      <w:pPr>
        <w:ind w:left="1440"/>
        <w:rPr>
          <w:rFonts w:asciiTheme="majorHAnsi" w:hAnsiTheme="majorHAnsi"/>
        </w:rPr>
      </w:pPr>
      <w:r>
        <w:rPr>
          <w:rFonts w:asciiTheme="majorHAnsi" w:hAnsiTheme="majorHAnsi"/>
        </w:rPr>
        <w:t>d)</w:t>
      </w:r>
      <w:r w:rsidR="008B1715" w:rsidRPr="00114CFE">
        <w:rPr>
          <w:rFonts w:asciiTheme="majorHAnsi" w:hAnsiTheme="majorHAnsi"/>
        </w:rPr>
        <w:t xml:space="preserve">  </w:t>
      </w:r>
      <w:r w:rsidR="00D855B8">
        <w:rPr>
          <w:rFonts w:asciiTheme="majorHAnsi" w:hAnsiTheme="majorHAnsi"/>
        </w:rPr>
        <w:t>Should</w:t>
      </w:r>
      <w:r w:rsidR="00D855B8" w:rsidRPr="00114CFE">
        <w:rPr>
          <w:rFonts w:asciiTheme="majorHAnsi" w:hAnsiTheme="majorHAnsi"/>
        </w:rPr>
        <w:t xml:space="preserve"> </w:t>
      </w:r>
      <w:r w:rsidR="008B1715" w:rsidRPr="00114CFE">
        <w:rPr>
          <w:rFonts w:asciiTheme="majorHAnsi" w:hAnsiTheme="majorHAnsi"/>
        </w:rPr>
        <w:t>be developed with a demonstrated knowledge</w:t>
      </w:r>
      <w:r w:rsidR="00984681">
        <w:rPr>
          <w:rFonts w:asciiTheme="majorHAnsi" w:hAnsiTheme="majorHAnsi"/>
        </w:rPr>
        <w:t xml:space="preserve"> and quantitative examples</w:t>
      </w:r>
      <w:r w:rsidR="00165F96">
        <w:rPr>
          <w:rFonts w:asciiTheme="majorHAnsi" w:hAnsiTheme="majorHAnsi"/>
        </w:rPr>
        <w:t>,</w:t>
      </w:r>
      <w:r w:rsidR="008B1715" w:rsidRPr="00114CFE">
        <w:rPr>
          <w:rFonts w:asciiTheme="majorHAnsi" w:hAnsiTheme="majorHAnsi"/>
        </w:rPr>
        <w:t xml:space="preserve"> </w:t>
      </w:r>
      <w:r w:rsidR="00400FB5" w:rsidRPr="00114CFE">
        <w:rPr>
          <w:rFonts w:asciiTheme="majorHAnsi" w:hAnsiTheme="majorHAnsi"/>
        </w:rPr>
        <w:t>for</w:t>
      </w:r>
      <w:r w:rsidR="008B1715" w:rsidRPr="00114CFE">
        <w:rPr>
          <w:rFonts w:asciiTheme="majorHAnsi" w:hAnsiTheme="majorHAnsi"/>
        </w:rPr>
        <w:t xml:space="preserve"> each of the specific sectors</w:t>
      </w:r>
      <w:r w:rsidR="00165F96">
        <w:rPr>
          <w:rFonts w:asciiTheme="majorHAnsi" w:hAnsiTheme="majorHAnsi"/>
        </w:rPr>
        <w:t>, about</w:t>
      </w:r>
      <w:r w:rsidR="008B1715" w:rsidRPr="00114CFE">
        <w:rPr>
          <w:rFonts w:asciiTheme="majorHAnsi" w:hAnsiTheme="majorHAnsi"/>
        </w:rPr>
        <w:t xml:space="preserve"> how </w:t>
      </w:r>
      <w:r w:rsidR="00400FB5" w:rsidRPr="00114CFE">
        <w:rPr>
          <w:rFonts w:asciiTheme="majorHAnsi" w:hAnsiTheme="majorHAnsi"/>
        </w:rPr>
        <w:t>program administrators</w:t>
      </w:r>
      <w:r w:rsidR="008B1715" w:rsidRPr="00114CFE">
        <w:rPr>
          <w:rFonts w:asciiTheme="majorHAnsi" w:hAnsiTheme="majorHAnsi"/>
        </w:rPr>
        <w:t xml:space="preserve"> intend to achieve strategic plan goals and legislative mandates</w:t>
      </w:r>
      <w:r w:rsidR="001F293F">
        <w:rPr>
          <w:rFonts w:asciiTheme="majorHAnsi" w:hAnsiTheme="majorHAnsi"/>
        </w:rPr>
        <w:t xml:space="preserve"> </w:t>
      </w:r>
      <w:r w:rsidR="00165F96">
        <w:rPr>
          <w:rFonts w:asciiTheme="majorHAnsi" w:hAnsiTheme="majorHAnsi"/>
        </w:rPr>
        <w:t xml:space="preserve">included in </w:t>
      </w:r>
      <w:r w:rsidR="001F293F">
        <w:rPr>
          <w:rFonts w:asciiTheme="majorHAnsi" w:hAnsiTheme="majorHAnsi"/>
        </w:rPr>
        <w:t>AB802, SB350 and AB793</w:t>
      </w:r>
      <w:r w:rsidR="008B1715" w:rsidRPr="00114CFE">
        <w:rPr>
          <w:rFonts w:asciiTheme="majorHAnsi" w:hAnsiTheme="majorHAnsi"/>
        </w:rPr>
        <w:t>.</w:t>
      </w:r>
    </w:p>
    <w:p w:rsidR="0094538F" w:rsidRDefault="0094538F" w:rsidP="001F637F">
      <w:pPr>
        <w:ind w:left="1440"/>
        <w:rPr>
          <w:rFonts w:asciiTheme="majorHAnsi" w:hAnsiTheme="majorHAnsi"/>
        </w:rPr>
      </w:pPr>
    </w:p>
    <w:p w:rsidR="0094538F" w:rsidRPr="00114CFE" w:rsidRDefault="00515FAB" w:rsidP="001F637F">
      <w:pPr>
        <w:ind w:left="1440"/>
        <w:rPr>
          <w:rFonts w:asciiTheme="majorHAnsi" w:hAnsiTheme="majorHAnsi"/>
        </w:rPr>
      </w:pPr>
      <w:r>
        <w:rPr>
          <w:rFonts w:asciiTheme="majorHAnsi" w:hAnsiTheme="majorHAnsi"/>
        </w:rPr>
        <w:t>e</w:t>
      </w:r>
      <w:r w:rsidR="0094538F">
        <w:rPr>
          <w:rFonts w:asciiTheme="majorHAnsi" w:hAnsiTheme="majorHAnsi"/>
        </w:rPr>
        <w:t>)</w:t>
      </w:r>
      <w:r w:rsidR="0094538F" w:rsidRPr="00114CFE">
        <w:rPr>
          <w:rFonts w:asciiTheme="majorHAnsi" w:hAnsiTheme="majorHAnsi"/>
        </w:rPr>
        <w:t xml:space="preserve"> </w:t>
      </w:r>
      <w:r w:rsidR="00D855B8">
        <w:rPr>
          <w:rFonts w:asciiTheme="majorHAnsi" w:hAnsiTheme="majorHAnsi"/>
        </w:rPr>
        <w:t>Should</w:t>
      </w:r>
      <w:r w:rsidR="0094538F">
        <w:rPr>
          <w:rFonts w:asciiTheme="majorHAnsi" w:hAnsiTheme="majorHAnsi"/>
        </w:rPr>
        <w:t xml:space="preserve"> </w:t>
      </w:r>
      <w:r>
        <w:rPr>
          <w:rFonts w:asciiTheme="majorHAnsi" w:hAnsiTheme="majorHAnsi"/>
        </w:rPr>
        <w:t>reflect</w:t>
      </w:r>
      <w:r w:rsidR="000D2CC9">
        <w:rPr>
          <w:rFonts w:asciiTheme="majorHAnsi" w:hAnsiTheme="majorHAnsi"/>
        </w:rPr>
        <w:t>, at a high level,</w:t>
      </w:r>
      <w:r>
        <w:rPr>
          <w:rFonts w:asciiTheme="majorHAnsi" w:hAnsiTheme="majorHAnsi"/>
        </w:rPr>
        <w:t xml:space="preserve"> consideration of</w:t>
      </w:r>
      <w:r w:rsidRPr="00C117F5">
        <w:rPr>
          <w:rFonts w:asciiTheme="majorHAnsi" w:hAnsiTheme="majorHAnsi"/>
        </w:rPr>
        <w:t xml:space="preserve"> </w:t>
      </w:r>
      <w:r w:rsidR="000D2CC9">
        <w:rPr>
          <w:rFonts w:asciiTheme="majorHAnsi" w:hAnsiTheme="majorHAnsi"/>
        </w:rPr>
        <w:t xml:space="preserve">how the portfolios will address </w:t>
      </w:r>
      <w:r w:rsidR="0094538F" w:rsidRPr="00C117F5">
        <w:rPr>
          <w:rFonts w:asciiTheme="majorHAnsi" w:hAnsiTheme="majorHAnsi"/>
        </w:rPr>
        <w:t xml:space="preserve">Section 7.3 of the </w:t>
      </w:r>
      <w:r w:rsidR="0094538F">
        <w:rPr>
          <w:rFonts w:asciiTheme="majorHAnsi" w:hAnsiTheme="majorHAnsi"/>
        </w:rPr>
        <w:t xml:space="preserve">California </w:t>
      </w:r>
      <w:r w:rsidR="0094538F" w:rsidRPr="00C117F5">
        <w:rPr>
          <w:rFonts w:asciiTheme="majorHAnsi" w:hAnsiTheme="majorHAnsi"/>
        </w:rPr>
        <w:t>ISO’s 201</w:t>
      </w:r>
      <w:r>
        <w:rPr>
          <w:rFonts w:asciiTheme="majorHAnsi" w:hAnsiTheme="majorHAnsi"/>
        </w:rPr>
        <w:t>6-17</w:t>
      </w:r>
      <w:r w:rsidR="000D2CC9">
        <w:rPr>
          <w:rFonts w:asciiTheme="majorHAnsi" w:hAnsiTheme="majorHAnsi"/>
        </w:rPr>
        <w:t xml:space="preserve"> </w:t>
      </w:r>
      <w:r w:rsidR="0094538F" w:rsidRPr="00C117F5">
        <w:rPr>
          <w:rFonts w:asciiTheme="majorHAnsi" w:hAnsiTheme="majorHAnsi"/>
        </w:rPr>
        <w:t>T</w:t>
      </w:r>
      <w:r w:rsidR="0094538F">
        <w:rPr>
          <w:rFonts w:asciiTheme="majorHAnsi" w:hAnsiTheme="majorHAnsi"/>
        </w:rPr>
        <w:t>ransmission Planning Process,</w:t>
      </w:r>
      <w:r w:rsidR="00876AD6">
        <w:rPr>
          <w:rFonts w:asciiTheme="majorHAnsi" w:hAnsiTheme="majorHAnsi"/>
        </w:rPr>
        <w:t xml:space="preserve"> which identifies</w:t>
      </w:r>
      <w:r w:rsidR="0094538F" w:rsidRPr="00C117F5">
        <w:rPr>
          <w:rFonts w:asciiTheme="majorHAnsi" w:hAnsiTheme="majorHAnsi"/>
        </w:rPr>
        <w:t xml:space="preserve"> specific locations where </w:t>
      </w:r>
      <w:r w:rsidR="0094538F">
        <w:rPr>
          <w:rFonts w:asciiTheme="majorHAnsi" w:hAnsiTheme="majorHAnsi"/>
        </w:rPr>
        <w:t>additional achievable energy efficiency (</w:t>
      </w:r>
      <w:r w:rsidR="0094538F" w:rsidRPr="00C117F5">
        <w:rPr>
          <w:rFonts w:asciiTheme="majorHAnsi" w:hAnsiTheme="majorHAnsi"/>
        </w:rPr>
        <w:t>AAEE</w:t>
      </w:r>
      <w:r w:rsidR="0094538F">
        <w:rPr>
          <w:rFonts w:asciiTheme="majorHAnsi" w:hAnsiTheme="majorHAnsi"/>
        </w:rPr>
        <w:t>)</w:t>
      </w:r>
      <w:r w:rsidR="0094538F" w:rsidRPr="00C117F5">
        <w:rPr>
          <w:rFonts w:asciiTheme="majorHAnsi" w:hAnsiTheme="majorHAnsi"/>
        </w:rPr>
        <w:t xml:space="preserve"> </w:t>
      </w:r>
      <w:r w:rsidR="00876AD6">
        <w:rPr>
          <w:rFonts w:asciiTheme="majorHAnsi" w:hAnsiTheme="majorHAnsi"/>
        </w:rPr>
        <w:t>is</w:t>
      </w:r>
      <w:r w:rsidR="0094538F" w:rsidRPr="00C117F5">
        <w:rPr>
          <w:rFonts w:asciiTheme="majorHAnsi" w:hAnsiTheme="majorHAnsi"/>
        </w:rPr>
        <w:t xml:space="preserve"> relied upon to meet tra</w:t>
      </w:r>
      <w:r w:rsidR="0094538F">
        <w:rPr>
          <w:rFonts w:asciiTheme="majorHAnsi" w:hAnsiTheme="majorHAnsi"/>
        </w:rPr>
        <w:t>nsmission planning requirements.</w:t>
      </w:r>
      <w:r w:rsidR="0094538F">
        <w:rPr>
          <w:rStyle w:val="FootnoteReference"/>
          <w:rFonts w:asciiTheme="majorHAnsi" w:hAnsiTheme="majorHAnsi"/>
        </w:rPr>
        <w:footnoteReference w:id="11"/>
      </w:r>
    </w:p>
    <w:p w:rsidR="008B1715" w:rsidRPr="00114CFE" w:rsidRDefault="008B1715" w:rsidP="00186DC9">
      <w:pPr>
        <w:ind w:left="720"/>
        <w:rPr>
          <w:rFonts w:asciiTheme="majorHAnsi" w:hAnsiTheme="majorHAnsi"/>
        </w:rPr>
      </w:pPr>
    </w:p>
    <w:p w:rsidR="008B1715" w:rsidRPr="00114CFE" w:rsidRDefault="008B1715" w:rsidP="00186DC9">
      <w:pPr>
        <w:ind w:left="720"/>
        <w:rPr>
          <w:rFonts w:asciiTheme="majorHAnsi" w:hAnsiTheme="majorHAnsi"/>
        </w:rPr>
      </w:pPr>
      <w:r w:rsidRPr="00114CFE">
        <w:rPr>
          <w:rFonts w:asciiTheme="majorHAnsi" w:hAnsiTheme="majorHAnsi"/>
        </w:rPr>
        <w:t>Program administrators are encouraged to work with Commission staff and EM&amp;V experts in developing</w:t>
      </w:r>
      <w:r w:rsidR="001F293F">
        <w:rPr>
          <w:rFonts w:asciiTheme="majorHAnsi" w:hAnsiTheme="majorHAnsi"/>
        </w:rPr>
        <w:t xml:space="preserve"> metrics to be included in the Business P</w:t>
      </w:r>
      <w:r w:rsidRPr="00114CFE">
        <w:rPr>
          <w:rFonts w:asciiTheme="majorHAnsi" w:hAnsiTheme="majorHAnsi"/>
        </w:rPr>
        <w:t xml:space="preserve">lans.  </w:t>
      </w:r>
    </w:p>
    <w:p w:rsidR="00967454" w:rsidRPr="00114CFE" w:rsidRDefault="00967454" w:rsidP="00967454">
      <w:pPr>
        <w:rPr>
          <w:rFonts w:asciiTheme="majorHAnsi" w:hAnsiTheme="majorHAnsi"/>
        </w:rPr>
      </w:pPr>
    </w:p>
    <w:p w:rsidR="004349C3" w:rsidRDefault="003E2DB3" w:rsidP="009F649A">
      <w:pPr>
        <w:rPr>
          <w:rFonts w:asciiTheme="majorHAnsi" w:hAnsiTheme="majorHAnsi"/>
          <w:b/>
        </w:rPr>
      </w:pPr>
      <w:r>
        <w:rPr>
          <w:rFonts w:asciiTheme="majorHAnsi" w:hAnsiTheme="majorHAnsi"/>
          <w:b/>
        </w:rPr>
        <w:t>Additional</w:t>
      </w:r>
      <w:r w:rsidR="003A770D">
        <w:rPr>
          <w:rFonts w:asciiTheme="majorHAnsi" w:hAnsiTheme="majorHAnsi"/>
          <w:b/>
        </w:rPr>
        <w:t xml:space="preserve"> </w:t>
      </w:r>
      <w:r w:rsidR="00355C13">
        <w:rPr>
          <w:rFonts w:asciiTheme="majorHAnsi" w:hAnsiTheme="majorHAnsi"/>
          <w:b/>
        </w:rPr>
        <w:t>Commission Proceedings</w:t>
      </w:r>
      <w:r w:rsidR="003A770D">
        <w:rPr>
          <w:rFonts w:asciiTheme="majorHAnsi" w:hAnsiTheme="majorHAnsi"/>
          <w:b/>
        </w:rPr>
        <w:t xml:space="preserve"> that O</w:t>
      </w:r>
      <w:r w:rsidR="004349C3">
        <w:rPr>
          <w:rFonts w:asciiTheme="majorHAnsi" w:hAnsiTheme="majorHAnsi"/>
          <w:b/>
        </w:rPr>
        <w:t>verlap with Energy Efficiency</w:t>
      </w:r>
    </w:p>
    <w:p w:rsidR="004349C3" w:rsidRDefault="004349C3" w:rsidP="009F649A">
      <w:pPr>
        <w:rPr>
          <w:rFonts w:asciiTheme="majorHAnsi" w:hAnsiTheme="majorHAnsi"/>
          <w:b/>
        </w:rPr>
      </w:pPr>
    </w:p>
    <w:p w:rsidR="00AF5439" w:rsidRDefault="004349C3" w:rsidP="009F649A">
      <w:pPr>
        <w:rPr>
          <w:rFonts w:asciiTheme="majorHAnsi" w:hAnsiTheme="majorHAnsi"/>
        </w:rPr>
      </w:pPr>
      <w:r w:rsidRPr="003A770D">
        <w:rPr>
          <w:rFonts w:asciiTheme="majorHAnsi" w:hAnsiTheme="majorHAnsi"/>
        </w:rPr>
        <w:t xml:space="preserve">There are </w:t>
      </w:r>
      <w:r w:rsidR="00AF5439">
        <w:rPr>
          <w:rFonts w:asciiTheme="majorHAnsi" w:hAnsiTheme="majorHAnsi"/>
        </w:rPr>
        <w:t>a number of</w:t>
      </w:r>
      <w:r w:rsidR="00AF5439" w:rsidRPr="003A770D">
        <w:rPr>
          <w:rFonts w:asciiTheme="majorHAnsi" w:hAnsiTheme="majorHAnsi"/>
        </w:rPr>
        <w:t xml:space="preserve"> </w:t>
      </w:r>
      <w:r w:rsidRPr="003A770D">
        <w:rPr>
          <w:rFonts w:asciiTheme="majorHAnsi" w:hAnsiTheme="majorHAnsi"/>
        </w:rPr>
        <w:t>ad</w:t>
      </w:r>
      <w:r w:rsidR="007A1A24">
        <w:rPr>
          <w:rFonts w:asciiTheme="majorHAnsi" w:hAnsiTheme="majorHAnsi"/>
        </w:rPr>
        <w:t>ditional Commission proceedings</w:t>
      </w:r>
      <w:r w:rsidRPr="003A770D">
        <w:rPr>
          <w:rFonts w:asciiTheme="majorHAnsi" w:hAnsiTheme="majorHAnsi"/>
        </w:rPr>
        <w:t xml:space="preserve"> in which there is </w:t>
      </w:r>
      <w:r w:rsidRPr="001F6591">
        <w:rPr>
          <w:rFonts w:asciiTheme="majorHAnsi" w:hAnsiTheme="majorHAnsi"/>
          <w:i/>
        </w:rPr>
        <w:t>significant</w:t>
      </w:r>
      <w:r w:rsidRPr="003A770D">
        <w:rPr>
          <w:rFonts w:asciiTheme="majorHAnsi" w:hAnsiTheme="majorHAnsi"/>
        </w:rPr>
        <w:t xml:space="preserve"> overlap with energy efficiency programmatic work.  </w:t>
      </w:r>
      <w:r w:rsidR="00AF5439">
        <w:rPr>
          <w:rFonts w:asciiTheme="majorHAnsi" w:hAnsiTheme="majorHAnsi"/>
        </w:rPr>
        <w:t xml:space="preserve"> These include:</w:t>
      </w:r>
    </w:p>
    <w:p w:rsidR="00AF5439" w:rsidRDefault="00AF5439" w:rsidP="009F649A">
      <w:pPr>
        <w:rPr>
          <w:rFonts w:asciiTheme="majorHAnsi" w:hAnsiTheme="majorHAnsi"/>
        </w:rPr>
      </w:pPr>
    </w:p>
    <w:p w:rsidR="00AF5439" w:rsidRPr="007A1A24" w:rsidRDefault="00AF5439" w:rsidP="007A1A24">
      <w:pPr>
        <w:pStyle w:val="ListParagraph"/>
        <w:numPr>
          <w:ilvl w:val="0"/>
          <w:numId w:val="24"/>
        </w:numPr>
        <w:rPr>
          <w:rFonts w:asciiTheme="majorHAnsi" w:hAnsiTheme="majorHAnsi"/>
        </w:rPr>
      </w:pPr>
      <w:r w:rsidRPr="007A1A24">
        <w:rPr>
          <w:rFonts w:asciiTheme="majorHAnsi" w:hAnsiTheme="majorHAnsi"/>
        </w:rPr>
        <w:t>Demand Response</w:t>
      </w:r>
    </w:p>
    <w:p w:rsidR="00AF5439" w:rsidRPr="007A1A24" w:rsidRDefault="00AF5439" w:rsidP="007A1A24">
      <w:pPr>
        <w:pStyle w:val="ListParagraph"/>
        <w:numPr>
          <w:ilvl w:val="0"/>
          <w:numId w:val="24"/>
        </w:numPr>
        <w:rPr>
          <w:rFonts w:asciiTheme="majorHAnsi" w:hAnsiTheme="majorHAnsi"/>
        </w:rPr>
      </w:pPr>
      <w:r w:rsidRPr="007A1A24">
        <w:rPr>
          <w:rFonts w:asciiTheme="majorHAnsi" w:hAnsiTheme="majorHAnsi"/>
        </w:rPr>
        <w:lastRenderedPageBreak/>
        <w:t>Residential Rate Reform</w:t>
      </w:r>
    </w:p>
    <w:p w:rsidR="00AF5439" w:rsidRPr="007A1A24" w:rsidRDefault="00AF5439" w:rsidP="007A1A24">
      <w:pPr>
        <w:pStyle w:val="ListParagraph"/>
        <w:numPr>
          <w:ilvl w:val="0"/>
          <w:numId w:val="24"/>
        </w:numPr>
        <w:rPr>
          <w:rFonts w:asciiTheme="majorHAnsi" w:hAnsiTheme="majorHAnsi"/>
        </w:rPr>
      </w:pPr>
      <w:r w:rsidRPr="007A1A24">
        <w:rPr>
          <w:rFonts w:asciiTheme="majorHAnsi" w:hAnsiTheme="majorHAnsi"/>
        </w:rPr>
        <w:t>Integrated Distributed Energy Resources (IDER)</w:t>
      </w:r>
    </w:p>
    <w:p w:rsidR="00AF5439" w:rsidRDefault="00AF5439" w:rsidP="007A1A24">
      <w:pPr>
        <w:pStyle w:val="ListParagraph"/>
        <w:numPr>
          <w:ilvl w:val="0"/>
          <w:numId w:val="24"/>
        </w:numPr>
        <w:rPr>
          <w:rFonts w:asciiTheme="majorHAnsi" w:hAnsiTheme="majorHAnsi"/>
        </w:rPr>
      </w:pPr>
      <w:r w:rsidRPr="007A1A24">
        <w:rPr>
          <w:rFonts w:asciiTheme="majorHAnsi" w:hAnsiTheme="majorHAnsi"/>
        </w:rPr>
        <w:t>Zero Emission Vehicles (EV’s)</w:t>
      </w:r>
    </w:p>
    <w:p w:rsidR="00D96CB1" w:rsidRPr="007A1A24" w:rsidRDefault="00D96CB1" w:rsidP="007A1A24">
      <w:pPr>
        <w:pStyle w:val="ListParagraph"/>
        <w:numPr>
          <w:ilvl w:val="0"/>
          <w:numId w:val="24"/>
        </w:numPr>
        <w:rPr>
          <w:rFonts w:asciiTheme="majorHAnsi" w:hAnsiTheme="majorHAnsi"/>
        </w:rPr>
      </w:pPr>
      <w:r>
        <w:rPr>
          <w:rFonts w:asciiTheme="majorHAnsi" w:hAnsiTheme="majorHAnsi"/>
        </w:rPr>
        <w:t>Energy Savings Assistance (multi-family focus)</w:t>
      </w:r>
      <w:r w:rsidR="001A7FC8">
        <w:rPr>
          <w:rFonts w:asciiTheme="majorHAnsi" w:hAnsiTheme="majorHAnsi"/>
        </w:rPr>
        <w:t xml:space="preserve"> </w:t>
      </w:r>
    </w:p>
    <w:p w:rsidR="00AF5439" w:rsidRDefault="00AF5439" w:rsidP="009F649A">
      <w:pPr>
        <w:rPr>
          <w:rFonts w:asciiTheme="majorHAnsi" w:hAnsiTheme="majorHAnsi"/>
        </w:rPr>
      </w:pPr>
    </w:p>
    <w:p w:rsidR="00AF5439" w:rsidRDefault="004349C3" w:rsidP="009F649A">
      <w:pPr>
        <w:rPr>
          <w:rFonts w:asciiTheme="majorHAnsi" w:hAnsiTheme="majorHAnsi"/>
        </w:rPr>
      </w:pPr>
      <w:r w:rsidRPr="003A770D">
        <w:rPr>
          <w:rFonts w:asciiTheme="majorHAnsi" w:hAnsiTheme="majorHAnsi"/>
        </w:rPr>
        <w:t xml:space="preserve">The interrelationship of </w:t>
      </w:r>
      <w:r w:rsidR="00AF5439">
        <w:rPr>
          <w:rFonts w:asciiTheme="majorHAnsi" w:hAnsiTheme="majorHAnsi"/>
        </w:rPr>
        <w:t>the energy efficiency proceeding with these additional</w:t>
      </w:r>
      <w:r w:rsidRPr="003A770D">
        <w:rPr>
          <w:rFonts w:asciiTheme="majorHAnsi" w:hAnsiTheme="majorHAnsi"/>
        </w:rPr>
        <w:t xml:space="preserve"> proceedings require the Business Plans to include information regarding how program administrators’ energy efficiency portfolios are integrated</w:t>
      </w:r>
      <w:r w:rsidR="00AF5439">
        <w:rPr>
          <w:rFonts w:asciiTheme="majorHAnsi" w:hAnsiTheme="majorHAnsi"/>
        </w:rPr>
        <w:t xml:space="preserve"> with these proceedings and</w:t>
      </w:r>
      <w:r w:rsidRPr="003A770D">
        <w:rPr>
          <w:rFonts w:asciiTheme="majorHAnsi" w:hAnsiTheme="majorHAnsi"/>
        </w:rPr>
        <w:t xml:space="preserve"> advance the state’s climate goals and broader legislative mandates.</w:t>
      </w:r>
      <w:r w:rsidR="007A1A24">
        <w:rPr>
          <w:rFonts w:asciiTheme="majorHAnsi" w:hAnsiTheme="majorHAnsi"/>
        </w:rPr>
        <w:t xml:space="preserve">  </w:t>
      </w:r>
      <w:r w:rsidR="00AF5439">
        <w:rPr>
          <w:rFonts w:asciiTheme="majorHAnsi" w:hAnsiTheme="majorHAnsi"/>
        </w:rPr>
        <w:t>Below, the Demand Response and Residential Rate Reform proceedings serve as examples of the types of information that the Business Plans will need to include to be responsive to this issue of proceeding overlap.</w:t>
      </w:r>
      <w:r w:rsidR="00994A16">
        <w:rPr>
          <w:rFonts w:asciiTheme="majorHAnsi" w:hAnsiTheme="majorHAnsi"/>
        </w:rPr>
        <w:t xml:space="preserve">  Much like the energy-efficiency-specific programmatic work, information that describes work in these proceedings </w:t>
      </w:r>
      <w:r w:rsidR="007A1A24">
        <w:rPr>
          <w:rFonts w:asciiTheme="majorHAnsi" w:hAnsiTheme="majorHAnsi"/>
        </w:rPr>
        <w:t>will need to</w:t>
      </w:r>
      <w:r w:rsidR="00994A16">
        <w:rPr>
          <w:rFonts w:asciiTheme="majorHAnsi" w:hAnsiTheme="majorHAnsi"/>
        </w:rPr>
        <w:t xml:space="preserve"> include relevant metrics, including targets for energy, demand, and GHG emissions.</w:t>
      </w:r>
    </w:p>
    <w:p w:rsidR="004349C3" w:rsidRDefault="004349C3" w:rsidP="009F649A">
      <w:pPr>
        <w:rPr>
          <w:rFonts w:asciiTheme="majorHAnsi" w:hAnsiTheme="majorHAnsi"/>
          <w:b/>
        </w:rPr>
      </w:pPr>
    </w:p>
    <w:p w:rsidR="004349C3" w:rsidRPr="000224A3" w:rsidRDefault="004349C3" w:rsidP="009F649A">
      <w:pPr>
        <w:rPr>
          <w:rFonts w:asciiTheme="majorHAnsi" w:hAnsiTheme="majorHAnsi"/>
          <w:b/>
          <w:i/>
        </w:rPr>
      </w:pPr>
      <w:r w:rsidRPr="000224A3">
        <w:rPr>
          <w:rFonts w:asciiTheme="majorHAnsi" w:hAnsiTheme="majorHAnsi"/>
          <w:b/>
          <w:i/>
        </w:rPr>
        <w:t>Demand Response</w:t>
      </w:r>
    </w:p>
    <w:p w:rsidR="004349C3" w:rsidRPr="000224A3" w:rsidRDefault="004349C3" w:rsidP="009F649A">
      <w:pPr>
        <w:rPr>
          <w:rFonts w:asciiTheme="majorHAnsi" w:hAnsiTheme="majorHAnsi"/>
          <w:b/>
        </w:rPr>
      </w:pPr>
    </w:p>
    <w:p w:rsidR="004349C3" w:rsidRPr="000224A3" w:rsidRDefault="004349C3" w:rsidP="004349C3">
      <w:pPr>
        <w:rPr>
          <w:rFonts w:asciiTheme="majorHAnsi" w:hAnsiTheme="majorHAnsi"/>
        </w:rPr>
      </w:pPr>
      <w:r w:rsidRPr="000224A3">
        <w:rPr>
          <w:rFonts w:asciiTheme="majorHAnsi" w:hAnsiTheme="majorHAnsi"/>
        </w:rPr>
        <w:t xml:space="preserve">The Business Plans shall include information relevant to the demand response proceeding that explains how </w:t>
      </w:r>
      <w:r w:rsidR="003A770D" w:rsidRPr="000224A3">
        <w:rPr>
          <w:rFonts w:asciiTheme="majorHAnsi" w:hAnsiTheme="majorHAnsi"/>
        </w:rPr>
        <w:t>energy efficiency</w:t>
      </w:r>
      <w:r w:rsidRPr="000224A3">
        <w:rPr>
          <w:rFonts w:asciiTheme="majorHAnsi" w:hAnsiTheme="majorHAnsi"/>
        </w:rPr>
        <w:t xml:space="preserve"> programs will a</w:t>
      </w:r>
      <w:r w:rsidR="003A770D" w:rsidRPr="000224A3">
        <w:rPr>
          <w:rFonts w:asciiTheme="majorHAnsi" w:hAnsiTheme="majorHAnsi"/>
        </w:rPr>
        <w:t>ddress</w:t>
      </w:r>
      <w:r w:rsidRPr="000224A3">
        <w:rPr>
          <w:rFonts w:asciiTheme="majorHAnsi" w:hAnsiTheme="majorHAnsi"/>
        </w:rPr>
        <w:t xml:space="preserve"> the </w:t>
      </w:r>
      <w:r w:rsidR="003A770D" w:rsidRPr="000224A3">
        <w:rPr>
          <w:rFonts w:asciiTheme="majorHAnsi" w:hAnsiTheme="majorHAnsi"/>
        </w:rPr>
        <w:t>followin</w:t>
      </w:r>
      <w:r w:rsidRPr="000224A3">
        <w:rPr>
          <w:rFonts w:asciiTheme="majorHAnsi" w:hAnsiTheme="majorHAnsi"/>
        </w:rPr>
        <w:t>g</w:t>
      </w:r>
      <w:r w:rsidR="003A770D" w:rsidRPr="000224A3">
        <w:rPr>
          <w:rFonts w:asciiTheme="majorHAnsi" w:hAnsiTheme="majorHAnsi"/>
        </w:rPr>
        <w:t xml:space="preserve"> needs.</w:t>
      </w:r>
    </w:p>
    <w:p w:rsidR="004349C3" w:rsidRPr="000224A3" w:rsidRDefault="004349C3" w:rsidP="004349C3">
      <w:pPr>
        <w:rPr>
          <w:rFonts w:asciiTheme="majorHAnsi" w:hAnsiTheme="majorHAnsi"/>
        </w:rPr>
      </w:pPr>
    </w:p>
    <w:p w:rsidR="004349C3" w:rsidRPr="000224A3" w:rsidRDefault="004349C3" w:rsidP="003A770D">
      <w:pPr>
        <w:pStyle w:val="ListParagraph"/>
        <w:numPr>
          <w:ilvl w:val="0"/>
          <w:numId w:val="17"/>
        </w:numPr>
        <w:rPr>
          <w:rFonts w:asciiTheme="majorHAnsi" w:hAnsiTheme="majorHAnsi"/>
        </w:rPr>
      </w:pPr>
      <w:r w:rsidRPr="000224A3">
        <w:rPr>
          <w:rFonts w:asciiTheme="majorHAnsi" w:hAnsiTheme="majorHAnsi"/>
        </w:rPr>
        <w:t xml:space="preserve">Facilitate installation of energy efficiency measures that include the most up-to-date demand response enabling technologies so that customers are DR ready, and there is a reduction in the duplication of costs for marketing, outreach, site visits, incentives, etc. for related or dual-purpose technologies. </w:t>
      </w:r>
      <w:r w:rsidR="003A770D" w:rsidRPr="000224A3">
        <w:rPr>
          <w:rFonts w:asciiTheme="majorHAnsi" w:hAnsiTheme="majorHAnsi"/>
        </w:rPr>
        <w:t xml:space="preserve"> </w:t>
      </w:r>
      <w:r w:rsidRPr="000224A3">
        <w:rPr>
          <w:rFonts w:asciiTheme="majorHAnsi" w:hAnsiTheme="majorHAnsi"/>
        </w:rPr>
        <w:t>For example:</w:t>
      </w:r>
    </w:p>
    <w:p w:rsidR="003A770D" w:rsidRPr="000224A3" w:rsidRDefault="003A770D" w:rsidP="003A770D">
      <w:pPr>
        <w:rPr>
          <w:rFonts w:asciiTheme="majorHAnsi" w:hAnsiTheme="majorHAnsi"/>
        </w:rPr>
      </w:pPr>
    </w:p>
    <w:p w:rsidR="004349C3" w:rsidRPr="000224A3" w:rsidRDefault="004349C3" w:rsidP="003A770D">
      <w:pPr>
        <w:pStyle w:val="ListParagraph"/>
        <w:numPr>
          <w:ilvl w:val="0"/>
          <w:numId w:val="22"/>
        </w:numPr>
        <w:rPr>
          <w:rFonts w:asciiTheme="majorHAnsi" w:hAnsiTheme="majorHAnsi"/>
        </w:rPr>
      </w:pPr>
      <w:r w:rsidRPr="000224A3">
        <w:rPr>
          <w:rFonts w:asciiTheme="majorHAnsi" w:hAnsiTheme="majorHAnsi"/>
        </w:rPr>
        <w:t>Require incented efficiency technologies for new building controls for HVAC or lighting to support OpenADR.*</w:t>
      </w:r>
      <w:r w:rsidRPr="000224A3">
        <w:rPr>
          <w:rStyle w:val="FootnoteReference"/>
          <w:rFonts w:asciiTheme="majorHAnsi" w:hAnsiTheme="majorHAnsi"/>
        </w:rPr>
        <w:footnoteReference w:id="12"/>
      </w:r>
    </w:p>
    <w:p w:rsidR="004349C3" w:rsidRPr="000224A3" w:rsidRDefault="004349C3" w:rsidP="003A770D">
      <w:pPr>
        <w:pStyle w:val="ListParagraph"/>
        <w:numPr>
          <w:ilvl w:val="0"/>
          <w:numId w:val="22"/>
        </w:numPr>
        <w:rPr>
          <w:rFonts w:asciiTheme="majorHAnsi" w:hAnsiTheme="majorHAnsi"/>
        </w:rPr>
      </w:pPr>
      <w:r w:rsidRPr="000224A3">
        <w:rPr>
          <w:rFonts w:asciiTheme="majorHAnsi" w:hAnsiTheme="majorHAnsi"/>
        </w:rPr>
        <w:t>Require incented building controls technologies for large office buildings to include gateway demand response devices and programming to enable building energy management systems to provide demand response from lighting and HVAC.</w:t>
      </w:r>
    </w:p>
    <w:p w:rsidR="004349C3" w:rsidRPr="000224A3" w:rsidRDefault="004349C3" w:rsidP="00005F1B">
      <w:pPr>
        <w:pStyle w:val="ListParagraph"/>
        <w:numPr>
          <w:ilvl w:val="0"/>
          <w:numId w:val="22"/>
        </w:numPr>
        <w:rPr>
          <w:rFonts w:asciiTheme="majorHAnsi" w:hAnsiTheme="majorHAnsi"/>
        </w:rPr>
      </w:pPr>
      <w:r w:rsidRPr="000224A3">
        <w:rPr>
          <w:rFonts w:asciiTheme="majorHAnsi" w:hAnsiTheme="majorHAnsi"/>
        </w:rPr>
        <w:t xml:space="preserve">Promote </w:t>
      </w:r>
      <w:r w:rsidR="00B731CF">
        <w:rPr>
          <w:rFonts w:asciiTheme="majorHAnsi" w:hAnsiTheme="majorHAnsi"/>
        </w:rPr>
        <w:t>energy management technologies (EMT) that provide</w:t>
      </w:r>
      <w:r w:rsidRPr="000224A3">
        <w:rPr>
          <w:rFonts w:asciiTheme="majorHAnsi" w:hAnsiTheme="majorHAnsi"/>
        </w:rPr>
        <w:t xml:space="preserve"> multiple customer benefits including </w:t>
      </w:r>
      <w:r w:rsidR="00B731CF">
        <w:rPr>
          <w:rFonts w:asciiTheme="majorHAnsi" w:hAnsiTheme="majorHAnsi"/>
        </w:rPr>
        <w:t xml:space="preserve">those </w:t>
      </w:r>
      <w:r w:rsidRPr="000224A3">
        <w:rPr>
          <w:rFonts w:asciiTheme="majorHAnsi" w:hAnsiTheme="majorHAnsi"/>
        </w:rPr>
        <w:t>for energy efficiency and demand response</w:t>
      </w:r>
      <w:r w:rsidR="00B731CF">
        <w:rPr>
          <w:rFonts w:asciiTheme="majorHAnsi" w:hAnsiTheme="majorHAnsi"/>
        </w:rPr>
        <w:t>, as envisioned by AB793</w:t>
      </w:r>
      <w:r w:rsidRPr="000224A3">
        <w:rPr>
          <w:rFonts w:asciiTheme="majorHAnsi" w:hAnsiTheme="majorHAnsi"/>
        </w:rPr>
        <w:t xml:space="preserve">. </w:t>
      </w:r>
      <w:r w:rsidR="00B731CF">
        <w:rPr>
          <w:rFonts w:asciiTheme="majorHAnsi" w:hAnsiTheme="majorHAnsi"/>
        </w:rPr>
        <w:t>Specific EMT’s may include, but are not limited to, “</w:t>
      </w:r>
      <w:r w:rsidR="00B731CF" w:rsidRPr="00B731CF">
        <w:rPr>
          <w:rFonts w:asciiTheme="majorHAnsi" w:hAnsiTheme="majorHAnsi"/>
        </w:rPr>
        <w:t>a product, service, or software that allows a customer to better understand and manage electricity or gas use in the customer’s home</w:t>
      </w:r>
      <w:r w:rsidR="00B731CF">
        <w:rPr>
          <w:rFonts w:asciiTheme="majorHAnsi" w:hAnsiTheme="majorHAnsi"/>
        </w:rPr>
        <w:t>” or place of business.</w:t>
      </w:r>
      <w:r w:rsidR="00B731CF">
        <w:rPr>
          <w:rStyle w:val="FootnoteReference"/>
          <w:rFonts w:asciiTheme="majorHAnsi" w:hAnsiTheme="majorHAnsi"/>
        </w:rPr>
        <w:footnoteReference w:id="13"/>
      </w:r>
      <w:r w:rsidR="00B731CF">
        <w:rPr>
          <w:rFonts w:asciiTheme="majorHAnsi" w:hAnsiTheme="majorHAnsi"/>
        </w:rPr>
        <w:t xml:space="preserve">  These EMT’s may offer opportunities to maximize </w:t>
      </w:r>
      <w:r w:rsidR="00B731CF">
        <w:rPr>
          <w:rFonts w:asciiTheme="majorHAnsi" w:hAnsiTheme="majorHAnsi"/>
        </w:rPr>
        <w:lastRenderedPageBreak/>
        <w:t xml:space="preserve">savings opportunities during a demand response event as well as provide customers with the information necessary to maximize energy efficiency savings in their home or place of business. </w:t>
      </w:r>
    </w:p>
    <w:p w:rsidR="004349C3" w:rsidRPr="000224A3" w:rsidRDefault="004349C3" w:rsidP="003A770D">
      <w:pPr>
        <w:pStyle w:val="ListParagraph"/>
        <w:numPr>
          <w:ilvl w:val="0"/>
          <w:numId w:val="18"/>
        </w:numPr>
        <w:rPr>
          <w:rFonts w:asciiTheme="majorHAnsi" w:hAnsiTheme="majorHAnsi"/>
        </w:rPr>
      </w:pPr>
      <w:r w:rsidRPr="000224A3">
        <w:rPr>
          <w:rFonts w:asciiTheme="majorHAnsi" w:hAnsiTheme="majorHAnsi"/>
        </w:rPr>
        <w:t>Facilitate customer understanding of their peak load energy use, its cost to them, and opportunities for reducing it</w:t>
      </w:r>
      <w:r w:rsidR="003A770D" w:rsidRPr="000224A3">
        <w:rPr>
          <w:rFonts w:asciiTheme="majorHAnsi" w:hAnsiTheme="majorHAnsi"/>
        </w:rPr>
        <w:t xml:space="preserve"> by:</w:t>
      </w:r>
    </w:p>
    <w:p w:rsidR="004349C3" w:rsidRPr="000224A3" w:rsidRDefault="004349C3" w:rsidP="003A770D">
      <w:pPr>
        <w:pStyle w:val="ListParagraph"/>
        <w:numPr>
          <w:ilvl w:val="0"/>
          <w:numId w:val="21"/>
        </w:numPr>
        <w:rPr>
          <w:rFonts w:asciiTheme="majorHAnsi" w:hAnsiTheme="majorHAnsi"/>
        </w:rPr>
      </w:pPr>
      <w:r w:rsidRPr="000224A3">
        <w:rPr>
          <w:rFonts w:asciiTheme="majorHAnsi" w:hAnsiTheme="majorHAnsi"/>
        </w:rPr>
        <w:t>Provid</w:t>
      </w:r>
      <w:r w:rsidR="003A770D" w:rsidRPr="000224A3">
        <w:rPr>
          <w:rFonts w:asciiTheme="majorHAnsi" w:hAnsiTheme="majorHAnsi"/>
        </w:rPr>
        <w:t>ing</w:t>
      </w:r>
      <w:r w:rsidRPr="000224A3">
        <w:rPr>
          <w:rFonts w:asciiTheme="majorHAnsi" w:hAnsiTheme="majorHAnsi"/>
        </w:rPr>
        <w:t xml:space="preserve"> feedback to owners of large office buildings on their peak load reduction savings so that they keep participating in demand response.</w:t>
      </w:r>
    </w:p>
    <w:p w:rsidR="004349C3" w:rsidRPr="000224A3" w:rsidRDefault="003A770D" w:rsidP="003A770D">
      <w:pPr>
        <w:pStyle w:val="ListParagraph"/>
        <w:numPr>
          <w:ilvl w:val="0"/>
          <w:numId w:val="21"/>
        </w:numPr>
        <w:rPr>
          <w:rFonts w:asciiTheme="majorHAnsi" w:hAnsiTheme="majorHAnsi"/>
        </w:rPr>
      </w:pPr>
      <w:r w:rsidRPr="000224A3">
        <w:rPr>
          <w:rFonts w:asciiTheme="majorHAnsi" w:hAnsiTheme="majorHAnsi"/>
        </w:rPr>
        <w:t>Promoting</w:t>
      </w:r>
      <w:r w:rsidR="004349C3" w:rsidRPr="000224A3">
        <w:rPr>
          <w:rFonts w:asciiTheme="majorHAnsi" w:hAnsiTheme="majorHAnsi"/>
        </w:rPr>
        <w:t xml:space="preserve"> the ability of large commercial building owners to understand their building’s peak demand intensities and load shape data. This is similar to how they understand the energy use intensity of their building through Energy Star Portfolio Manager, and other tools, supported by required disclosure laws. </w:t>
      </w:r>
    </w:p>
    <w:p w:rsidR="004349C3" w:rsidRPr="000224A3" w:rsidRDefault="004349C3" w:rsidP="004349C3">
      <w:pPr>
        <w:rPr>
          <w:rFonts w:asciiTheme="majorHAnsi" w:hAnsiTheme="majorHAnsi"/>
        </w:rPr>
      </w:pPr>
    </w:p>
    <w:p w:rsidR="004349C3" w:rsidRPr="000224A3" w:rsidRDefault="00AF5439" w:rsidP="009F649A">
      <w:pPr>
        <w:rPr>
          <w:rFonts w:asciiTheme="majorHAnsi" w:hAnsiTheme="majorHAnsi"/>
          <w:i/>
        </w:rPr>
      </w:pPr>
      <w:r>
        <w:rPr>
          <w:rFonts w:asciiTheme="majorHAnsi" w:hAnsiTheme="majorHAnsi"/>
          <w:i/>
        </w:rPr>
        <w:t>Residential Rate Reform</w:t>
      </w:r>
    </w:p>
    <w:p w:rsidR="004349C3" w:rsidRPr="000224A3" w:rsidRDefault="004349C3" w:rsidP="009F649A">
      <w:pPr>
        <w:rPr>
          <w:rFonts w:asciiTheme="majorHAnsi" w:hAnsiTheme="majorHAnsi"/>
          <w:b/>
        </w:rPr>
      </w:pPr>
    </w:p>
    <w:p w:rsidR="003A770D" w:rsidRPr="000224A3" w:rsidRDefault="003A770D" w:rsidP="009F649A">
      <w:pPr>
        <w:rPr>
          <w:rFonts w:asciiTheme="majorHAnsi" w:hAnsiTheme="majorHAnsi"/>
        </w:rPr>
      </w:pPr>
      <w:r w:rsidRPr="000224A3">
        <w:rPr>
          <w:rFonts w:asciiTheme="majorHAnsi" w:hAnsiTheme="majorHAnsi"/>
        </w:rPr>
        <w:t xml:space="preserve">The Business Plans shall include information relevant to the </w:t>
      </w:r>
      <w:r w:rsidR="00AF5439">
        <w:rPr>
          <w:rFonts w:asciiTheme="majorHAnsi" w:hAnsiTheme="majorHAnsi"/>
        </w:rPr>
        <w:t>Residential Rate Reform</w:t>
      </w:r>
      <w:r w:rsidRPr="000224A3">
        <w:rPr>
          <w:rFonts w:asciiTheme="majorHAnsi" w:hAnsiTheme="majorHAnsi"/>
        </w:rPr>
        <w:t xml:space="preserve"> proceeding that explains how energy efficiency programs will:</w:t>
      </w:r>
    </w:p>
    <w:p w:rsidR="0035667D" w:rsidRPr="000224A3" w:rsidRDefault="0035667D" w:rsidP="009F649A">
      <w:pPr>
        <w:rPr>
          <w:rFonts w:asciiTheme="majorHAnsi" w:hAnsiTheme="majorHAnsi"/>
          <w:b/>
        </w:rPr>
      </w:pPr>
    </w:p>
    <w:p w:rsidR="0035667D" w:rsidRPr="000224A3" w:rsidRDefault="003A770D" w:rsidP="0035667D">
      <w:pPr>
        <w:pStyle w:val="ListParagraph"/>
        <w:numPr>
          <w:ilvl w:val="0"/>
          <w:numId w:val="14"/>
        </w:numPr>
        <w:rPr>
          <w:rFonts w:asciiTheme="majorHAnsi" w:hAnsiTheme="majorHAnsi"/>
        </w:rPr>
      </w:pPr>
      <w:r w:rsidRPr="000224A3">
        <w:rPr>
          <w:rFonts w:asciiTheme="majorHAnsi" w:hAnsiTheme="majorHAnsi"/>
        </w:rPr>
        <w:t xml:space="preserve">reduce </w:t>
      </w:r>
      <w:r w:rsidR="0035667D" w:rsidRPr="000224A3">
        <w:rPr>
          <w:rFonts w:asciiTheme="majorHAnsi" w:hAnsiTheme="majorHAnsi"/>
        </w:rPr>
        <w:t xml:space="preserve">load during </w:t>
      </w:r>
      <w:r w:rsidR="00C2723B">
        <w:rPr>
          <w:rFonts w:asciiTheme="majorHAnsi" w:hAnsiTheme="majorHAnsi"/>
        </w:rPr>
        <w:t>TOU</w:t>
      </w:r>
      <w:r w:rsidR="00C2723B" w:rsidRPr="000224A3">
        <w:rPr>
          <w:rFonts w:asciiTheme="majorHAnsi" w:hAnsiTheme="majorHAnsi"/>
        </w:rPr>
        <w:t xml:space="preserve"> </w:t>
      </w:r>
      <w:r w:rsidR="0035667D" w:rsidRPr="000224A3">
        <w:rPr>
          <w:rFonts w:asciiTheme="majorHAnsi" w:hAnsiTheme="majorHAnsi"/>
        </w:rPr>
        <w:t>periods</w:t>
      </w:r>
    </w:p>
    <w:p w:rsidR="0035667D" w:rsidRPr="000224A3" w:rsidRDefault="003A770D" w:rsidP="0035667D">
      <w:pPr>
        <w:pStyle w:val="ListParagraph"/>
        <w:numPr>
          <w:ilvl w:val="0"/>
          <w:numId w:val="14"/>
        </w:numPr>
        <w:rPr>
          <w:rFonts w:asciiTheme="majorHAnsi" w:hAnsiTheme="majorHAnsi"/>
        </w:rPr>
      </w:pPr>
      <w:r w:rsidRPr="000224A3">
        <w:rPr>
          <w:rFonts w:asciiTheme="majorHAnsi" w:hAnsiTheme="majorHAnsi"/>
        </w:rPr>
        <w:t>diminish</w:t>
      </w:r>
      <w:r w:rsidR="0035667D" w:rsidRPr="000224A3">
        <w:rPr>
          <w:rFonts w:asciiTheme="majorHAnsi" w:hAnsiTheme="majorHAnsi"/>
        </w:rPr>
        <w:t xml:space="preserve"> barriers to </w:t>
      </w:r>
      <w:r w:rsidRPr="000224A3">
        <w:rPr>
          <w:rFonts w:asciiTheme="majorHAnsi" w:hAnsiTheme="majorHAnsi"/>
        </w:rPr>
        <w:t>load reduction</w:t>
      </w:r>
      <w:r w:rsidR="0035667D" w:rsidRPr="000224A3">
        <w:rPr>
          <w:rFonts w:asciiTheme="majorHAnsi" w:hAnsiTheme="majorHAnsi"/>
        </w:rPr>
        <w:t xml:space="preserve"> during </w:t>
      </w:r>
      <w:r w:rsidR="00C2723B">
        <w:rPr>
          <w:rFonts w:asciiTheme="majorHAnsi" w:hAnsiTheme="majorHAnsi"/>
        </w:rPr>
        <w:t>TOU</w:t>
      </w:r>
      <w:r w:rsidR="00C2723B" w:rsidRPr="000224A3">
        <w:rPr>
          <w:rFonts w:asciiTheme="majorHAnsi" w:hAnsiTheme="majorHAnsi"/>
        </w:rPr>
        <w:t xml:space="preserve"> </w:t>
      </w:r>
      <w:r w:rsidR="0035667D" w:rsidRPr="000224A3">
        <w:rPr>
          <w:rFonts w:asciiTheme="majorHAnsi" w:hAnsiTheme="majorHAnsi"/>
        </w:rPr>
        <w:t>periods</w:t>
      </w:r>
    </w:p>
    <w:p w:rsidR="0035667D" w:rsidRPr="000224A3" w:rsidRDefault="003A770D" w:rsidP="0035667D">
      <w:pPr>
        <w:pStyle w:val="ListParagraph"/>
        <w:numPr>
          <w:ilvl w:val="0"/>
          <w:numId w:val="14"/>
        </w:numPr>
        <w:rPr>
          <w:rFonts w:asciiTheme="majorHAnsi" w:hAnsiTheme="majorHAnsi"/>
        </w:rPr>
      </w:pPr>
      <w:r w:rsidRPr="000224A3">
        <w:rPr>
          <w:rFonts w:asciiTheme="majorHAnsi" w:hAnsiTheme="majorHAnsi"/>
        </w:rPr>
        <w:t xml:space="preserve">provide information to </w:t>
      </w:r>
      <w:r w:rsidR="0035667D" w:rsidRPr="000224A3">
        <w:rPr>
          <w:rFonts w:asciiTheme="majorHAnsi" w:hAnsiTheme="majorHAnsi"/>
        </w:rPr>
        <w:t xml:space="preserve">customers and/or provide a tool to show </w:t>
      </w:r>
      <w:r w:rsidRPr="000224A3">
        <w:rPr>
          <w:rFonts w:asciiTheme="majorHAnsi" w:hAnsiTheme="majorHAnsi"/>
        </w:rPr>
        <w:t xml:space="preserve">how </w:t>
      </w:r>
      <w:r w:rsidR="0035667D" w:rsidRPr="000224A3">
        <w:rPr>
          <w:rFonts w:asciiTheme="majorHAnsi" w:hAnsiTheme="majorHAnsi"/>
        </w:rPr>
        <w:t xml:space="preserve">program  may impact </w:t>
      </w:r>
      <w:r w:rsidRPr="000224A3">
        <w:rPr>
          <w:rFonts w:asciiTheme="majorHAnsi" w:hAnsiTheme="majorHAnsi"/>
        </w:rPr>
        <w:t xml:space="preserve">customer </w:t>
      </w:r>
      <w:r w:rsidR="0035667D" w:rsidRPr="000224A3">
        <w:rPr>
          <w:rFonts w:asciiTheme="majorHAnsi" w:hAnsiTheme="majorHAnsi"/>
        </w:rPr>
        <w:t>energy usage during different TOU periods</w:t>
      </w:r>
    </w:p>
    <w:p w:rsidR="0035667D" w:rsidRPr="000224A3" w:rsidRDefault="003A770D" w:rsidP="0035667D">
      <w:pPr>
        <w:pStyle w:val="ListParagraph"/>
        <w:numPr>
          <w:ilvl w:val="0"/>
          <w:numId w:val="14"/>
        </w:numPr>
        <w:rPr>
          <w:rFonts w:asciiTheme="majorHAnsi" w:hAnsiTheme="majorHAnsi"/>
        </w:rPr>
      </w:pPr>
      <w:r w:rsidRPr="000224A3">
        <w:rPr>
          <w:rFonts w:asciiTheme="majorHAnsi" w:hAnsiTheme="majorHAnsi"/>
        </w:rPr>
        <w:t>a</w:t>
      </w:r>
      <w:r w:rsidR="0035667D" w:rsidRPr="000224A3">
        <w:rPr>
          <w:rFonts w:asciiTheme="majorHAnsi" w:hAnsiTheme="majorHAnsi"/>
        </w:rPr>
        <w:t xml:space="preserve">nalyze whether a customer may experience even greater savings by switching to a different, opt-in TOU rate </w:t>
      </w:r>
    </w:p>
    <w:p w:rsidR="003A770D" w:rsidRPr="000224A3" w:rsidRDefault="003A770D" w:rsidP="003A770D">
      <w:pPr>
        <w:pStyle w:val="ListParagraph"/>
        <w:rPr>
          <w:rFonts w:asciiTheme="majorHAnsi" w:hAnsiTheme="majorHAnsi"/>
        </w:rPr>
      </w:pPr>
    </w:p>
    <w:p w:rsidR="003A770D" w:rsidRDefault="00974EB0" w:rsidP="0035667D">
      <w:pPr>
        <w:rPr>
          <w:rFonts w:asciiTheme="majorHAnsi" w:hAnsiTheme="majorHAnsi"/>
        </w:rPr>
      </w:pPr>
      <w:r>
        <w:rPr>
          <w:rFonts w:asciiTheme="majorHAnsi" w:hAnsiTheme="majorHAnsi"/>
        </w:rPr>
        <w:t>As a matter of timing, PA</w:t>
      </w:r>
      <w:r w:rsidR="003A770D" w:rsidRPr="000224A3">
        <w:rPr>
          <w:rFonts w:asciiTheme="majorHAnsi" w:hAnsiTheme="majorHAnsi"/>
        </w:rPr>
        <w:t>s</w:t>
      </w:r>
      <w:r>
        <w:rPr>
          <w:rFonts w:asciiTheme="majorHAnsi" w:hAnsiTheme="majorHAnsi"/>
        </w:rPr>
        <w:t>’</w:t>
      </w:r>
      <w:r w:rsidR="003A770D" w:rsidRPr="000224A3">
        <w:rPr>
          <w:rFonts w:asciiTheme="majorHAnsi" w:hAnsiTheme="majorHAnsi"/>
        </w:rPr>
        <w:t xml:space="preserve"> Time-of-Use Marketing, Education and Outreach</w:t>
      </w:r>
      <w:r w:rsidR="003B0D78" w:rsidRPr="000224A3">
        <w:rPr>
          <w:rFonts w:asciiTheme="majorHAnsi" w:hAnsiTheme="majorHAnsi"/>
        </w:rPr>
        <w:t xml:space="preserve"> (ME&amp;O)</w:t>
      </w:r>
      <w:r w:rsidR="003A770D" w:rsidRPr="000224A3">
        <w:rPr>
          <w:rFonts w:asciiTheme="majorHAnsi" w:hAnsiTheme="majorHAnsi"/>
        </w:rPr>
        <w:t xml:space="preserve"> plans are expected to be filed in September 2016, at the same time as the Business Plans.  In consideration of this aspect of parallel planning efforts, the business plans should reflect at a high level the information proposed in the ME&amp;O plans, including how</w:t>
      </w:r>
      <w:r w:rsidR="003B0D78" w:rsidRPr="000224A3">
        <w:rPr>
          <w:rFonts w:asciiTheme="majorHAnsi" w:hAnsiTheme="majorHAnsi"/>
        </w:rPr>
        <w:t xml:space="preserve"> ME&amp;O efforts will: </w:t>
      </w:r>
    </w:p>
    <w:p w:rsidR="008838CF" w:rsidRPr="000224A3" w:rsidRDefault="008838CF" w:rsidP="0035667D">
      <w:pPr>
        <w:rPr>
          <w:rFonts w:asciiTheme="majorHAnsi" w:hAnsiTheme="majorHAnsi"/>
        </w:rPr>
      </w:pPr>
    </w:p>
    <w:p w:rsidR="0035667D" w:rsidRPr="000224A3" w:rsidRDefault="003B0D78" w:rsidP="0035667D">
      <w:pPr>
        <w:pStyle w:val="ListParagraph"/>
        <w:numPr>
          <w:ilvl w:val="0"/>
          <w:numId w:val="13"/>
        </w:numPr>
        <w:rPr>
          <w:rFonts w:asciiTheme="majorHAnsi" w:hAnsiTheme="majorHAnsi"/>
        </w:rPr>
      </w:pPr>
      <w:r w:rsidRPr="000224A3">
        <w:rPr>
          <w:rFonts w:asciiTheme="majorHAnsi" w:hAnsiTheme="majorHAnsi"/>
        </w:rPr>
        <w:t>a</w:t>
      </w:r>
      <w:r w:rsidR="0035667D" w:rsidRPr="000224A3">
        <w:rPr>
          <w:rFonts w:asciiTheme="majorHAnsi" w:hAnsiTheme="majorHAnsi"/>
        </w:rPr>
        <w:t xml:space="preserve">lign rate reform marketing with other rate-related programs such as California Alternate Rates for Energy (CARE), California Climate Credit, energy efficiency and demand response. </w:t>
      </w:r>
    </w:p>
    <w:p w:rsidR="0035667D" w:rsidRPr="000224A3" w:rsidRDefault="003B0D78" w:rsidP="0035667D">
      <w:pPr>
        <w:pStyle w:val="ListParagraph"/>
        <w:numPr>
          <w:ilvl w:val="0"/>
          <w:numId w:val="13"/>
        </w:numPr>
        <w:rPr>
          <w:rFonts w:asciiTheme="majorHAnsi" w:hAnsiTheme="majorHAnsi"/>
        </w:rPr>
      </w:pPr>
      <w:r w:rsidRPr="000224A3">
        <w:rPr>
          <w:rFonts w:asciiTheme="majorHAnsi" w:hAnsiTheme="majorHAnsi"/>
        </w:rPr>
        <w:t>a</w:t>
      </w:r>
      <w:r w:rsidR="0035667D" w:rsidRPr="000224A3">
        <w:rPr>
          <w:rFonts w:asciiTheme="majorHAnsi" w:hAnsiTheme="majorHAnsi"/>
        </w:rPr>
        <w:t xml:space="preserve">lign local </w:t>
      </w:r>
      <w:r w:rsidRPr="000224A3">
        <w:rPr>
          <w:rFonts w:asciiTheme="majorHAnsi" w:hAnsiTheme="majorHAnsi"/>
        </w:rPr>
        <w:t>PA</w:t>
      </w:r>
      <w:r w:rsidR="0035667D" w:rsidRPr="000224A3">
        <w:rPr>
          <w:rFonts w:asciiTheme="majorHAnsi" w:hAnsiTheme="majorHAnsi"/>
        </w:rPr>
        <w:t xml:space="preserve"> marketing activities with the Statewide ME&amp;O efforts under the brand Energy Upgrade California.</w:t>
      </w:r>
    </w:p>
    <w:p w:rsidR="0035667D" w:rsidRDefault="0035667D" w:rsidP="009F649A">
      <w:pPr>
        <w:rPr>
          <w:rFonts w:asciiTheme="majorHAnsi" w:hAnsiTheme="majorHAnsi"/>
          <w:b/>
        </w:rPr>
      </w:pPr>
    </w:p>
    <w:p w:rsidR="007B00E4" w:rsidRPr="008838CF" w:rsidRDefault="008838CF" w:rsidP="009F649A">
      <w:pPr>
        <w:rPr>
          <w:rFonts w:asciiTheme="majorHAnsi" w:hAnsiTheme="majorHAnsi"/>
          <w:b/>
        </w:rPr>
      </w:pPr>
      <w:r w:rsidRPr="008838CF">
        <w:rPr>
          <w:rFonts w:asciiTheme="majorHAnsi" w:hAnsiTheme="majorHAnsi"/>
          <w:b/>
        </w:rPr>
        <w:t>Business Plan Document Platform</w:t>
      </w:r>
      <w:r w:rsidR="00346913">
        <w:rPr>
          <w:rFonts w:asciiTheme="majorHAnsi" w:hAnsiTheme="majorHAnsi"/>
          <w:b/>
        </w:rPr>
        <w:t xml:space="preserve"> and Format</w:t>
      </w:r>
    </w:p>
    <w:p w:rsidR="008838CF" w:rsidRPr="00114CFE" w:rsidRDefault="008838CF" w:rsidP="009F649A">
      <w:pPr>
        <w:rPr>
          <w:rFonts w:asciiTheme="majorHAnsi" w:hAnsiTheme="majorHAnsi"/>
        </w:rPr>
      </w:pPr>
    </w:p>
    <w:p w:rsidR="00042DAB" w:rsidRDefault="00B04F9B" w:rsidP="00042DAB">
      <w:pPr>
        <w:rPr>
          <w:rFonts w:asciiTheme="majorHAnsi" w:hAnsiTheme="majorHAnsi"/>
        </w:rPr>
      </w:pPr>
      <w:r>
        <w:rPr>
          <w:rFonts w:asciiTheme="majorHAnsi" w:hAnsiTheme="majorHAnsi"/>
        </w:rPr>
        <w:t xml:space="preserve">To ensure that information is included in the Business Plans as directed, Energy Division staff will use a checklist, included in Attachment A.  Staff is also developing a software platform for filing annual budgets and implementation plan data.  </w:t>
      </w:r>
      <w:r w:rsidRPr="00B35B21">
        <w:rPr>
          <w:rFonts w:asciiTheme="majorHAnsi" w:hAnsiTheme="majorHAnsi"/>
        </w:rPr>
        <w:t xml:space="preserve">Staff will use these </w:t>
      </w:r>
      <w:r w:rsidRPr="00B35B21">
        <w:rPr>
          <w:rFonts w:asciiTheme="majorHAnsi" w:hAnsiTheme="majorHAnsi"/>
        </w:rPr>
        <w:lastRenderedPageBreak/>
        <w:t>business plans as baseline for oversight, both in the application review of these plans and in future reported claims and evaluations.</w:t>
      </w:r>
      <w:r>
        <w:rPr>
          <w:rFonts w:asciiTheme="majorHAnsi" w:hAnsiTheme="majorHAnsi"/>
        </w:rPr>
        <w:t xml:space="preserve">  </w:t>
      </w:r>
    </w:p>
    <w:p w:rsidR="00346913" w:rsidRDefault="00346913" w:rsidP="00042DAB">
      <w:pPr>
        <w:rPr>
          <w:rFonts w:asciiTheme="majorHAnsi" w:hAnsiTheme="majorHAnsi"/>
        </w:rPr>
      </w:pPr>
    </w:p>
    <w:p w:rsidR="00346913" w:rsidRDefault="00346913" w:rsidP="00042DAB">
      <w:pPr>
        <w:rPr>
          <w:rFonts w:asciiTheme="majorHAnsi" w:hAnsiTheme="majorHAnsi"/>
        </w:rPr>
      </w:pPr>
      <w:r>
        <w:rPr>
          <w:rFonts w:asciiTheme="majorHAnsi" w:hAnsiTheme="majorHAnsi"/>
        </w:rPr>
        <w:t>Program administrators shall follow the Business Plan Outline, as posted on the California Energy Efficiency Coordinating Committee (CAEECC) website (</w:t>
      </w:r>
      <w:hyperlink r:id="rId9" w:anchor="!business-plan-guidance/dzlus" w:history="1">
        <w:r w:rsidRPr="00395287">
          <w:rPr>
            <w:rStyle w:val="Hyperlink"/>
            <w:rFonts w:asciiTheme="majorHAnsi" w:hAnsiTheme="majorHAnsi"/>
          </w:rPr>
          <w:t>http://www.caeecc.org/#!business-plan-guidance/dzlus</w:t>
        </w:r>
      </w:hyperlink>
      <w:r>
        <w:rPr>
          <w:rFonts w:asciiTheme="majorHAnsi" w:hAnsiTheme="majorHAnsi"/>
        </w:rPr>
        <w:t>)</w:t>
      </w:r>
      <w:r w:rsidR="001160E5">
        <w:rPr>
          <w:rFonts w:asciiTheme="majorHAnsi" w:hAnsiTheme="majorHAnsi"/>
        </w:rPr>
        <w:t>, in order to e</w:t>
      </w:r>
      <w:r>
        <w:rPr>
          <w:rFonts w:asciiTheme="majorHAnsi" w:hAnsiTheme="majorHAnsi"/>
        </w:rPr>
        <w:t>nsure layout uniformity and facilitate stakeholder review.</w:t>
      </w:r>
    </w:p>
    <w:p w:rsidR="00346913" w:rsidRDefault="00346913" w:rsidP="00042DAB">
      <w:pPr>
        <w:rPr>
          <w:rFonts w:asciiTheme="majorHAnsi" w:hAnsiTheme="majorHAnsi"/>
        </w:rPr>
      </w:pPr>
    </w:p>
    <w:p w:rsidR="008567C5" w:rsidRPr="00114CFE" w:rsidRDefault="008567C5" w:rsidP="001F637F">
      <w:pPr>
        <w:rPr>
          <w:rFonts w:asciiTheme="majorHAnsi" w:hAnsiTheme="majorHAnsi"/>
        </w:rPr>
      </w:pPr>
    </w:p>
    <w:sectPr w:rsidR="008567C5" w:rsidRPr="00114CFE" w:rsidSect="00865A24">
      <w:headerReference w:type="default" r:id="rId10"/>
      <w:footerReference w:type="default" r:id="rId11"/>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B06F65" w15:done="0"/>
  <w15:commentEx w15:paraId="2DECFA27" w15:done="0"/>
  <w15:commentEx w15:paraId="747D236F" w15:paraIdParent="2DECFA27" w15:done="0"/>
  <w15:commentEx w15:paraId="34891C32" w15:done="0"/>
  <w15:commentEx w15:paraId="1DE410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7C5" w:rsidRDefault="000767C5" w:rsidP="008567C5">
      <w:r>
        <w:separator/>
      </w:r>
    </w:p>
  </w:endnote>
  <w:endnote w:type="continuationSeparator" w:id="0">
    <w:p w:rsidR="000767C5" w:rsidRDefault="000767C5" w:rsidP="0085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584433"/>
      <w:docPartObj>
        <w:docPartGallery w:val="Page Numbers (Bottom of Page)"/>
        <w:docPartUnique/>
      </w:docPartObj>
    </w:sdtPr>
    <w:sdtEndPr>
      <w:rPr>
        <w:noProof/>
      </w:rPr>
    </w:sdtEndPr>
    <w:sdtContent>
      <w:p w:rsidR="00147A3E" w:rsidRDefault="00147A3E">
        <w:pPr>
          <w:pStyle w:val="Footer"/>
          <w:jc w:val="center"/>
        </w:pPr>
        <w:r>
          <w:fldChar w:fldCharType="begin"/>
        </w:r>
        <w:r>
          <w:instrText xml:space="preserve"> PAGE   \* MERGEFORMAT </w:instrText>
        </w:r>
        <w:r>
          <w:fldChar w:fldCharType="separate"/>
        </w:r>
        <w:r w:rsidR="009F1D3D">
          <w:rPr>
            <w:noProof/>
          </w:rPr>
          <w:t>6</w:t>
        </w:r>
        <w:r>
          <w:rPr>
            <w:noProof/>
          </w:rPr>
          <w:fldChar w:fldCharType="end"/>
        </w:r>
      </w:p>
    </w:sdtContent>
  </w:sdt>
  <w:p w:rsidR="00147A3E" w:rsidRPr="00B248DC" w:rsidRDefault="00B248DC">
    <w:pPr>
      <w:pStyle w:val="Footer"/>
      <w:rPr>
        <w:rFonts w:asciiTheme="majorHAnsi" w:hAnsiTheme="majorHAnsi"/>
      </w:rPr>
    </w:pPr>
    <w:r>
      <w:tab/>
    </w:r>
    <w:r>
      <w:tab/>
    </w:r>
    <w:r w:rsidRPr="00B248DC">
      <w:rPr>
        <w:rFonts w:asciiTheme="majorHAnsi" w:hAnsiTheme="majorHAnsi"/>
      </w:rPr>
      <w:t>Prepared by Commission Staff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7C5" w:rsidRDefault="000767C5" w:rsidP="008567C5">
      <w:r>
        <w:separator/>
      </w:r>
    </w:p>
  </w:footnote>
  <w:footnote w:type="continuationSeparator" w:id="0">
    <w:p w:rsidR="000767C5" w:rsidRDefault="000767C5" w:rsidP="008567C5">
      <w:r>
        <w:continuationSeparator/>
      </w:r>
    </w:p>
  </w:footnote>
  <w:footnote w:id="1">
    <w:p w:rsidR="00147A3E" w:rsidRPr="00114CFE" w:rsidRDefault="00147A3E" w:rsidP="008567C5">
      <w:pPr>
        <w:pStyle w:val="FootnoteText"/>
        <w:rPr>
          <w:rFonts w:asciiTheme="majorHAnsi" w:hAnsiTheme="majorHAnsi"/>
          <w:sz w:val="18"/>
          <w:szCs w:val="18"/>
        </w:rPr>
      </w:pPr>
      <w:r w:rsidRPr="00114CFE">
        <w:rPr>
          <w:rStyle w:val="FootnoteReference"/>
          <w:rFonts w:asciiTheme="majorHAnsi" w:hAnsiTheme="majorHAnsi"/>
          <w:sz w:val="18"/>
          <w:szCs w:val="18"/>
        </w:rPr>
        <w:footnoteRef/>
      </w:r>
      <w:r w:rsidRPr="00114CFE">
        <w:rPr>
          <w:rFonts w:asciiTheme="majorHAnsi" w:hAnsiTheme="majorHAnsi"/>
          <w:sz w:val="18"/>
          <w:szCs w:val="18"/>
        </w:rPr>
        <w:t xml:space="preserve"> See D. 15-10-028, pp 56-7</w:t>
      </w:r>
    </w:p>
  </w:footnote>
  <w:footnote w:id="2">
    <w:p w:rsidR="005116A1" w:rsidRPr="00B00127" w:rsidRDefault="005116A1">
      <w:pPr>
        <w:pStyle w:val="FootnoteText"/>
        <w:rPr>
          <w:rStyle w:val="FootnoteReference"/>
          <w:rFonts w:asciiTheme="majorHAnsi" w:hAnsiTheme="majorHAnsi"/>
          <w:sz w:val="18"/>
          <w:szCs w:val="18"/>
        </w:rPr>
      </w:pPr>
      <w:r w:rsidRPr="00B00127">
        <w:rPr>
          <w:rStyle w:val="FootnoteReference"/>
          <w:rFonts w:asciiTheme="majorHAnsi" w:hAnsiTheme="majorHAnsi"/>
          <w:sz w:val="18"/>
          <w:szCs w:val="18"/>
        </w:rPr>
        <w:footnoteRef/>
      </w:r>
      <w:r w:rsidRPr="00B00127">
        <w:rPr>
          <w:rStyle w:val="FootnoteReference"/>
          <w:rFonts w:asciiTheme="majorHAnsi" w:hAnsiTheme="majorHAnsi"/>
          <w:sz w:val="18"/>
          <w:szCs w:val="18"/>
        </w:rPr>
        <w:t xml:space="preserve"> </w:t>
      </w:r>
      <w:r w:rsidRPr="00B00127">
        <w:rPr>
          <w:sz w:val="18"/>
          <w:szCs w:val="18"/>
        </w:rPr>
        <w:t>Appendix 3 of D. 15-10-028 provides the draft Business Plan template.</w:t>
      </w:r>
    </w:p>
  </w:footnote>
  <w:footnote w:id="3">
    <w:p w:rsidR="00147A3E" w:rsidRPr="00114CFE" w:rsidRDefault="00147A3E">
      <w:pPr>
        <w:pStyle w:val="FootnoteText"/>
        <w:rPr>
          <w:rFonts w:asciiTheme="majorHAnsi" w:hAnsiTheme="majorHAnsi"/>
          <w:sz w:val="18"/>
          <w:szCs w:val="18"/>
        </w:rPr>
      </w:pPr>
      <w:r w:rsidRPr="00114CFE">
        <w:rPr>
          <w:rStyle w:val="FootnoteReference"/>
          <w:rFonts w:asciiTheme="majorHAnsi" w:hAnsiTheme="majorHAnsi"/>
          <w:sz w:val="18"/>
          <w:szCs w:val="18"/>
        </w:rPr>
        <w:footnoteRef/>
      </w:r>
      <w:r w:rsidRPr="00114CFE">
        <w:rPr>
          <w:rFonts w:asciiTheme="majorHAnsi" w:hAnsiTheme="majorHAnsi"/>
          <w:sz w:val="18"/>
          <w:szCs w:val="18"/>
        </w:rPr>
        <w:t xml:space="preserve"> See D. 15-10-028,  pg. 57</w:t>
      </w:r>
    </w:p>
  </w:footnote>
  <w:footnote w:id="4">
    <w:p w:rsidR="00DF6A51" w:rsidRPr="0068114F" w:rsidRDefault="00DF6A51" w:rsidP="00DF6A51">
      <w:pPr>
        <w:pStyle w:val="NormalWeb"/>
        <w:spacing w:before="0" w:beforeAutospacing="0" w:after="0" w:afterAutospacing="0"/>
        <w:rPr>
          <w:rFonts w:asciiTheme="majorHAnsi" w:hAnsiTheme="majorHAnsi"/>
          <w:sz w:val="18"/>
          <w:szCs w:val="18"/>
        </w:rPr>
      </w:pPr>
      <w:r>
        <w:rPr>
          <w:rStyle w:val="FootnoteReference"/>
        </w:rPr>
        <w:footnoteRef/>
      </w:r>
      <w:r>
        <w:t xml:space="preserve"> </w:t>
      </w:r>
      <w:r w:rsidRPr="0068114F">
        <w:rPr>
          <w:rFonts w:asciiTheme="majorHAnsi" w:hAnsiTheme="majorHAnsi"/>
          <w:sz w:val="18"/>
          <w:szCs w:val="18"/>
        </w:rPr>
        <w:t xml:space="preserve">See D. 15-10-028 at 72: “With those considerations in mind, here are the roles we envision for the coordinating committee and its members. </w:t>
      </w:r>
    </w:p>
    <w:p w:rsidR="00DF6A51" w:rsidRPr="0068114F" w:rsidRDefault="00DF6A51" w:rsidP="00DF6A51">
      <w:pPr>
        <w:pStyle w:val="NormalWeb"/>
        <w:spacing w:before="0" w:beforeAutospacing="0" w:after="0" w:afterAutospacing="0"/>
        <w:rPr>
          <w:rFonts w:asciiTheme="majorHAnsi" w:hAnsiTheme="majorHAnsi"/>
          <w:sz w:val="18"/>
          <w:szCs w:val="18"/>
        </w:rPr>
      </w:pPr>
      <w:r w:rsidRPr="0068114F">
        <w:rPr>
          <w:rFonts w:asciiTheme="majorHAnsi" w:hAnsiTheme="majorHAnsi"/>
          <w:sz w:val="18"/>
          <w:szCs w:val="18"/>
        </w:rPr>
        <w:t xml:space="preserve">a. Scope of Work: </w:t>
      </w:r>
    </w:p>
    <w:p w:rsidR="00DF6A51" w:rsidRPr="0068114F" w:rsidRDefault="00DF6A51" w:rsidP="00DF6A51">
      <w:pPr>
        <w:pStyle w:val="NormalWeb"/>
        <w:numPr>
          <w:ilvl w:val="0"/>
          <w:numId w:val="8"/>
        </w:numPr>
        <w:spacing w:before="0" w:beforeAutospacing="0" w:after="0" w:afterAutospacing="0"/>
        <w:rPr>
          <w:rFonts w:asciiTheme="majorHAnsi" w:hAnsiTheme="majorHAnsi"/>
          <w:sz w:val="18"/>
          <w:szCs w:val="18"/>
        </w:rPr>
      </w:pPr>
      <w:r w:rsidRPr="0068114F">
        <w:rPr>
          <w:rFonts w:asciiTheme="majorHAnsi" w:hAnsiTheme="majorHAnsi"/>
          <w:sz w:val="18"/>
          <w:szCs w:val="18"/>
        </w:rPr>
        <w:t xml:space="preserve">Provide input into development of business plans </w:t>
      </w:r>
      <w:r w:rsidRPr="0068114F">
        <w:rPr>
          <w:rFonts w:asciiTheme="majorHAnsi" w:hAnsiTheme="majorHAnsi"/>
          <w:i/>
          <w:iCs/>
          <w:sz w:val="18"/>
          <w:szCs w:val="18"/>
        </w:rPr>
        <w:t xml:space="preserve">prior to and throughout the drafting process </w:t>
      </w:r>
      <w:r w:rsidRPr="0068114F">
        <w:rPr>
          <w:rFonts w:asciiTheme="majorHAnsi" w:hAnsiTheme="majorHAnsi"/>
          <w:sz w:val="18"/>
          <w:szCs w:val="18"/>
        </w:rPr>
        <w:t xml:space="preserve">(see notes below re scope of input and timing); </w:t>
      </w:r>
    </w:p>
    <w:p w:rsidR="00DF6A51" w:rsidRPr="0068114F" w:rsidRDefault="00DF6A51" w:rsidP="00DF6A51">
      <w:pPr>
        <w:pStyle w:val="NormalWeb"/>
        <w:numPr>
          <w:ilvl w:val="0"/>
          <w:numId w:val="8"/>
        </w:numPr>
        <w:spacing w:before="0" w:beforeAutospacing="0" w:after="0" w:afterAutospacing="0"/>
        <w:rPr>
          <w:rFonts w:asciiTheme="majorHAnsi" w:hAnsiTheme="majorHAnsi"/>
          <w:sz w:val="18"/>
          <w:szCs w:val="18"/>
        </w:rPr>
      </w:pPr>
      <w:r w:rsidRPr="0068114F">
        <w:rPr>
          <w:rFonts w:asciiTheme="majorHAnsi" w:hAnsiTheme="majorHAnsi"/>
          <w:sz w:val="18"/>
          <w:szCs w:val="18"/>
        </w:rPr>
        <w:t xml:space="preserve">Provide input into development of implementation plans, again, </w:t>
      </w:r>
      <w:r w:rsidRPr="0068114F">
        <w:rPr>
          <w:rFonts w:asciiTheme="majorHAnsi" w:hAnsiTheme="majorHAnsi"/>
          <w:i/>
          <w:iCs/>
          <w:sz w:val="18"/>
          <w:szCs w:val="18"/>
        </w:rPr>
        <w:t>prior to and throughout the drafting process</w:t>
      </w:r>
      <w:r w:rsidRPr="0068114F">
        <w:rPr>
          <w:rFonts w:asciiTheme="majorHAnsi" w:hAnsiTheme="majorHAnsi"/>
          <w:sz w:val="18"/>
          <w:szCs w:val="18"/>
        </w:rPr>
        <w:t xml:space="preserve">; </w:t>
      </w:r>
      <w:r>
        <w:rPr>
          <w:rFonts w:asciiTheme="majorHAnsi" w:hAnsiTheme="majorHAnsi"/>
          <w:sz w:val="18"/>
          <w:szCs w:val="18"/>
        </w:rPr>
        <w:t>“</w:t>
      </w:r>
    </w:p>
    <w:p w:rsidR="00DF6A51" w:rsidRDefault="00DF6A51" w:rsidP="00DF6A51">
      <w:pPr>
        <w:pStyle w:val="FootnoteText"/>
      </w:pPr>
    </w:p>
  </w:footnote>
  <w:footnote w:id="5">
    <w:p w:rsidR="0020449A" w:rsidRPr="00114CFE" w:rsidRDefault="0020449A" w:rsidP="0020449A">
      <w:pPr>
        <w:pStyle w:val="FootnoteText"/>
        <w:rPr>
          <w:rFonts w:asciiTheme="majorHAnsi" w:hAnsiTheme="majorHAnsi"/>
          <w:sz w:val="18"/>
          <w:szCs w:val="18"/>
        </w:rPr>
      </w:pPr>
      <w:r w:rsidRPr="00114CFE">
        <w:rPr>
          <w:rStyle w:val="FootnoteReference"/>
          <w:rFonts w:asciiTheme="majorHAnsi" w:hAnsiTheme="majorHAnsi"/>
          <w:sz w:val="18"/>
          <w:szCs w:val="18"/>
        </w:rPr>
        <w:footnoteRef/>
      </w:r>
      <w:r w:rsidRPr="00114CFE">
        <w:rPr>
          <w:rFonts w:asciiTheme="majorHAnsi" w:hAnsiTheme="majorHAnsi"/>
          <w:sz w:val="18"/>
          <w:szCs w:val="18"/>
        </w:rPr>
        <w:t xml:space="preserve"> As stated in D. 15-10-028, business plans should include information such as “Although this may simply be stated as “for investment of Y dollars we can expect to achieve X towards Strategic Plan objectives from Z programs/strategies/interventions…”; however, this statement in a business plan should not be so specific as to reveal how much will be spent on a particular widget or programmatic activity. </w:t>
      </w:r>
    </w:p>
  </w:footnote>
  <w:footnote w:id="6">
    <w:p w:rsidR="00147A3E" w:rsidRPr="00114CFE" w:rsidRDefault="00147A3E">
      <w:pPr>
        <w:pStyle w:val="FootnoteText"/>
        <w:rPr>
          <w:rFonts w:asciiTheme="majorHAnsi" w:hAnsiTheme="majorHAnsi"/>
          <w:sz w:val="18"/>
          <w:szCs w:val="18"/>
        </w:rPr>
      </w:pPr>
      <w:r w:rsidRPr="00114CFE">
        <w:rPr>
          <w:rStyle w:val="FootnoteReference"/>
          <w:rFonts w:asciiTheme="majorHAnsi" w:hAnsiTheme="majorHAnsi"/>
          <w:sz w:val="18"/>
          <w:szCs w:val="18"/>
        </w:rPr>
        <w:footnoteRef/>
      </w:r>
      <w:r w:rsidRPr="00114CFE">
        <w:rPr>
          <w:rFonts w:asciiTheme="majorHAnsi" w:hAnsiTheme="majorHAnsi"/>
          <w:sz w:val="18"/>
          <w:szCs w:val="18"/>
        </w:rPr>
        <w:t xml:space="preserve"> See D. 15-10-028, pp 47-8, for full text </w:t>
      </w:r>
    </w:p>
  </w:footnote>
  <w:footnote w:id="7">
    <w:p w:rsidR="00147A3E" w:rsidRPr="00114CFE" w:rsidRDefault="00147A3E">
      <w:pPr>
        <w:pStyle w:val="FootnoteText"/>
        <w:rPr>
          <w:rFonts w:asciiTheme="majorHAnsi" w:hAnsiTheme="majorHAnsi"/>
          <w:sz w:val="18"/>
          <w:szCs w:val="18"/>
        </w:rPr>
      </w:pPr>
      <w:r w:rsidRPr="00114CFE">
        <w:rPr>
          <w:rStyle w:val="FootnoteReference"/>
          <w:rFonts w:asciiTheme="majorHAnsi" w:hAnsiTheme="majorHAnsi"/>
          <w:sz w:val="18"/>
          <w:szCs w:val="18"/>
        </w:rPr>
        <w:footnoteRef/>
      </w:r>
      <w:r w:rsidRPr="00114CFE">
        <w:rPr>
          <w:rFonts w:asciiTheme="majorHAnsi" w:hAnsiTheme="majorHAnsi"/>
          <w:sz w:val="18"/>
          <w:szCs w:val="18"/>
        </w:rPr>
        <w:t xml:space="preserve"> Sector chapters are residential, commercial, industrial, agriculture, public, and cross-cutting.</w:t>
      </w:r>
    </w:p>
  </w:footnote>
  <w:footnote w:id="8">
    <w:p w:rsidR="00712502" w:rsidRDefault="00712502" w:rsidP="00712502">
      <w:pPr>
        <w:rPr>
          <w:color w:val="1F497D" w:themeColor="dark2"/>
        </w:rPr>
      </w:pPr>
      <w:r>
        <w:rPr>
          <w:rStyle w:val="FootnoteReference"/>
        </w:rPr>
        <w:footnoteRef/>
      </w:r>
      <w:r>
        <w:t xml:space="preserve"> </w:t>
      </w:r>
      <w:hyperlink r:id="rId1" w:history="1">
        <w:r w:rsidRPr="00F81B00">
          <w:rPr>
            <w:rStyle w:val="Hyperlink"/>
            <w:rFonts w:asciiTheme="majorHAnsi" w:hAnsiTheme="majorHAnsi"/>
          </w:rPr>
          <w:t>http://docs.cpuc.ca.gov/SearchRes.aspx?DocFormat=ALL&amp;DocID=156129077</w:t>
        </w:r>
      </w:hyperlink>
      <w:r>
        <w:rPr>
          <w:color w:val="1F497D" w:themeColor="dark2"/>
        </w:rPr>
        <w:t xml:space="preserve"> </w:t>
      </w:r>
    </w:p>
    <w:p w:rsidR="00712502" w:rsidRDefault="00712502">
      <w:pPr>
        <w:pStyle w:val="FootnoteText"/>
      </w:pPr>
    </w:p>
  </w:footnote>
  <w:footnote w:id="9">
    <w:p w:rsidR="00147A3E" w:rsidRPr="00114CFE" w:rsidRDefault="00147A3E">
      <w:pPr>
        <w:pStyle w:val="FootnoteText"/>
        <w:rPr>
          <w:rFonts w:asciiTheme="majorHAnsi" w:hAnsiTheme="majorHAnsi"/>
          <w:sz w:val="18"/>
          <w:szCs w:val="18"/>
        </w:rPr>
      </w:pPr>
      <w:r w:rsidRPr="00114CFE">
        <w:rPr>
          <w:rStyle w:val="FootnoteReference"/>
          <w:rFonts w:asciiTheme="majorHAnsi" w:hAnsiTheme="majorHAnsi"/>
          <w:sz w:val="18"/>
          <w:szCs w:val="18"/>
        </w:rPr>
        <w:footnoteRef/>
      </w:r>
      <w:r w:rsidRPr="00114CFE">
        <w:rPr>
          <w:rFonts w:asciiTheme="majorHAnsi" w:hAnsiTheme="majorHAnsi"/>
          <w:sz w:val="18"/>
          <w:szCs w:val="18"/>
        </w:rPr>
        <w:t xml:space="preserve"> See D. 15-10-028 at p. 53</w:t>
      </w:r>
    </w:p>
  </w:footnote>
  <w:footnote w:id="10">
    <w:p w:rsidR="000842A4" w:rsidRPr="00114CFE" w:rsidRDefault="000842A4" w:rsidP="000842A4">
      <w:pPr>
        <w:pStyle w:val="FootnoteText"/>
        <w:rPr>
          <w:rFonts w:asciiTheme="majorHAnsi" w:hAnsiTheme="majorHAnsi"/>
          <w:sz w:val="18"/>
          <w:szCs w:val="18"/>
        </w:rPr>
      </w:pPr>
      <w:r w:rsidRPr="00114CFE">
        <w:rPr>
          <w:rStyle w:val="FootnoteReference"/>
          <w:rFonts w:asciiTheme="majorHAnsi" w:hAnsiTheme="majorHAnsi"/>
          <w:sz w:val="18"/>
          <w:szCs w:val="18"/>
        </w:rPr>
        <w:footnoteRef/>
      </w:r>
      <w:r w:rsidRPr="00114CFE">
        <w:rPr>
          <w:rFonts w:asciiTheme="majorHAnsi" w:hAnsiTheme="majorHAnsi"/>
          <w:sz w:val="18"/>
          <w:szCs w:val="18"/>
        </w:rPr>
        <w:t xml:space="preserve"> ibid.</w:t>
      </w:r>
    </w:p>
  </w:footnote>
  <w:footnote w:id="11">
    <w:p w:rsidR="0094538F" w:rsidRPr="00666E44" w:rsidRDefault="0094538F" w:rsidP="0094538F">
      <w:pPr>
        <w:pStyle w:val="FootnoteText"/>
        <w:rPr>
          <w:rFonts w:asciiTheme="majorHAnsi" w:hAnsiTheme="majorHAnsi"/>
          <w:sz w:val="18"/>
          <w:szCs w:val="18"/>
        </w:rPr>
      </w:pPr>
      <w:r w:rsidRPr="00666E44">
        <w:rPr>
          <w:rStyle w:val="FootnoteReference"/>
          <w:rFonts w:asciiTheme="majorHAnsi" w:hAnsiTheme="majorHAnsi"/>
          <w:sz w:val="18"/>
          <w:szCs w:val="18"/>
        </w:rPr>
        <w:footnoteRef/>
      </w:r>
      <w:r w:rsidRPr="00666E44">
        <w:rPr>
          <w:rFonts w:asciiTheme="majorHAnsi" w:hAnsiTheme="majorHAnsi"/>
          <w:sz w:val="18"/>
          <w:szCs w:val="18"/>
        </w:rPr>
        <w:t xml:space="preserve"> https://www.caiso.com/planning/Pages/TransmissionPlanning/2015-2016TransmissionPlanningProcess.aspx</w:t>
      </w:r>
    </w:p>
  </w:footnote>
  <w:footnote w:id="12">
    <w:p w:rsidR="004349C3" w:rsidRPr="00B940C0" w:rsidRDefault="004349C3" w:rsidP="004349C3">
      <w:pPr>
        <w:rPr>
          <w:rFonts w:asciiTheme="majorHAnsi" w:hAnsiTheme="majorHAnsi"/>
        </w:rPr>
      </w:pPr>
      <w:r>
        <w:rPr>
          <w:rStyle w:val="FootnoteReference"/>
        </w:rPr>
        <w:footnoteRef/>
      </w:r>
      <w:r>
        <w:t xml:space="preserve"> </w:t>
      </w:r>
      <w:r>
        <w:rPr>
          <w:rFonts w:asciiTheme="majorHAnsi" w:hAnsiTheme="majorHAnsi"/>
        </w:rPr>
        <w:t xml:space="preserve">Open ADR </w:t>
      </w:r>
      <w:r w:rsidRPr="00B940C0">
        <w:rPr>
          <w:rFonts w:asciiTheme="majorHAnsi" w:hAnsiTheme="majorHAnsi"/>
        </w:rPr>
        <w:t>is a standardized open source communication platform that allows existing energy management systems to respond to demand response signals with pre-programmed actions customized to the customer’s needs.</w:t>
      </w:r>
    </w:p>
    <w:p w:rsidR="004349C3" w:rsidRDefault="004349C3">
      <w:pPr>
        <w:pStyle w:val="FootnoteText"/>
      </w:pPr>
    </w:p>
  </w:footnote>
  <w:footnote w:id="13">
    <w:p w:rsidR="00B731CF" w:rsidRPr="00005F1B" w:rsidRDefault="00B731CF">
      <w:pPr>
        <w:pStyle w:val="FootnoteText"/>
        <w:rPr>
          <w:rFonts w:asciiTheme="majorHAnsi" w:hAnsiTheme="majorHAnsi"/>
          <w:sz w:val="18"/>
          <w:szCs w:val="18"/>
        </w:rPr>
      </w:pPr>
      <w:r w:rsidRPr="00005F1B">
        <w:rPr>
          <w:rStyle w:val="FootnoteReference"/>
          <w:rFonts w:asciiTheme="majorHAnsi" w:hAnsiTheme="majorHAnsi"/>
          <w:sz w:val="18"/>
          <w:szCs w:val="18"/>
        </w:rPr>
        <w:footnoteRef/>
      </w:r>
      <w:r w:rsidRPr="00005F1B">
        <w:rPr>
          <w:rFonts w:asciiTheme="majorHAnsi" w:hAnsiTheme="majorHAnsi"/>
          <w:sz w:val="18"/>
          <w:szCs w:val="18"/>
        </w:rPr>
        <w:t xml:space="preserve"> See http://leginfo.legislature.ca.gov/faces/billNavClient.xhtml?bill_id=201520160AB793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DC" w:rsidRDefault="00B248DC">
    <w:pPr>
      <w:pStyle w:val="Header"/>
      <w:rPr>
        <w:rFonts w:asciiTheme="majorHAnsi" w:hAnsiTheme="majorHAnsi"/>
      </w:rPr>
    </w:pPr>
    <w:r w:rsidRPr="00B248DC">
      <w:rPr>
        <w:rFonts w:asciiTheme="majorHAnsi" w:hAnsiTheme="majorHAnsi"/>
      </w:rPr>
      <w:t>Business Plan Guidance</w:t>
    </w:r>
    <w:r>
      <w:rPr>
        <w:rFonts w:asciiTheme="majorHAnsi" w:hAnsiTheme="majorHAnsi"/>
      </w:rPr>
      <w:t xml:space="preserve"> Document</w:t>
    </w:r>
    <w:r>
      <w:rPr>
        <w:rFonts w:asciiTheme="majorHAnsi" w:hAnsiTheme="majorHAnsi"/>
      </w:rPr>
      <w:tab/>
    </w:r>
    <w:r>
      <w:rPr>
        <w:rFonts w:asciiTheme="majorHAnsi" w:hAnsiTheme="majorHAnsi"/>
      </w:rPr>
      <w:tab/>
      <w:t>May 2, 2016</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B248DC" w:rsidRDefault="00B24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4811"/>
    <w:multiLevelType w:val="hybridMultilevel"/>
    <w:tmpl w:val="CD943E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28055E"/>
    <w:multiLevelType w:val="hybridMultilevel"/>
    <w:tmpl w:val="51CE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55D64"/>
    <w:multiLevelType w:val="hybridMultilevel"/>
    <w:tmpl w:val="2AC4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96240"/>
    <w:multiLevelType w:val="multilevel"/>
    <w:tmpl w:val="10D65B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450C72"/>
    <w:multiLevelType w:val="hybridMultilevel"/>
    <w:tmpl w:val="33EA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74ED8"/>
    <w:multiLevelType w:val="multilevel"/>
    <w:tmpl w:val="0038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1C3ECF"/>
    <w:multiLevelType w:val="hybridMultilevel"/>
    <w:tmpl w:val="9C54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A426E6"/>
    <w:multiLevelType w:val="hybridMultilevel"/>
    <w:tmpl w:val="0FD6E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7C0D9F"/>
    <w:multiLevelType w:val="hybridMultilevel"/>
    <w:tmpl w:val="877E8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E817E8"/>
    <w:multiLevelType w:val="hybridMultilevel"/>
    <w:tmpl w:val="C420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0483C"/>
    <w:multiLevelType w:val="hybridMultilevel"/>
    <w:tmpl w:val="CEEE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0332D"/>
    <w:multiLevelType w:val="hybridMultilevel"/>
    <w:tmpl w:val="F8D0FA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671F5E"/>
    <w:multiLevelType w:val="hybridMultilevel"/>
    <w:tmpl w:val="13F2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984A45"/>
    <w:multiLevelType w:val="hybridMultilevel"/>
    <w:tmpl w:val="DA90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8F483A"/>
    <w:multiLevelType w:val="hybridMultilevel"/>
    <w:tmpl w:val="384E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D179A1"/>
    <w:multiLevelType w:val="hybridMultilevel"/>
    <w:tmpl w:val="CBFC32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CA0014"/>
    <w:multiLevelType w:val="hybridMultilevel"/>
    <w:tmpl w:val="B72A5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4535F8"/>
    <w:multiLevelType w:val="hybridMultilevel"/>
    <w:tmpl w:val="4A90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61745E"/>
    <w:multiLevelType w:val="hybridMultilevel"/>
    <w:tmpl w:val="F1B0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7752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C4E5B1C"/>
    <w:multiLevelType w:val="hybridMultilevel"/>
    <w:tmpl w:val="3356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F25AF2"/>
    <w:multiLevelType w:val="hybridMultilevel"/>
    <w:tmpl w:val="8736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DB6D05"/>
    <w:multiLevelType w:val="hybridMultilevel"/>
    <w:tmpl w:val="56EC33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30E67B0"/>
    <w:multiLevelType w:val="multilevel"/>
    <w:tmpl w:val="4F447A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5280A1A"/>
    <w:multiLevelType w:val="multilevel"/>
    <w:tmpl w:val="6A06FD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655F4060"/>
    <w:multiLevelType w:val="hybridMultilevel"/>
    <w:tmpl w:val="2EE6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2B5828"/>
    <w:multiLevelType w:val="hybridMultilevel"/>
    <w:tmpl w:val="41E8BBFE"/>
    <w:lvl w:ilvl="0" w:tplc="D146FB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76E2F"/>
    <w:multiLevelType w:val="hybridMultilevel"/>
    <w:tmpl w:val="C53AC4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91224B"/>
    <w:multiLevelType w:val="hybridMultilevel"/>
    <w:tmpl w:val="7BC2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E06F22"/>
    <w:multiLevelType w:val="hybridMultilevel"/>
    <w:tmpl w:val="5A18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301209"/>
    <w:multiLevelType w:val="multilevel"/>
    <w:tmpl w:val="2E18AB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304596"/>
    <w:multiLevelType w:val="hybridMultilevel"/>
    <w:tmpl w:val="4B7E6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E6A6BCC"/>
    <w:multiLevelType w:val="hybridMultilevel"/>
    <w:tmpl w:val="65387D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0"/>
  </w:num>
  <w:num w:numId="3">
    <w:abstractNumId w:val="5"/>
  </w:num>
  <w:num w:numId="4">
    <w:abstractNumId w:val="3"/>
  </w:num>
  <w:num w:numId="5">
    <w:abstractNumId w:val="16"/>
  </w:num>
  <w:num w:numId="6">
    <w:abstractNumId w:val="4"/>
  </w:num>
  <w:num w:numId="7">
    <w:abstractNumId w:val="10"/>
  </w:num>
  <w:num w:numId="8">
    <w:abstractNumId w:val="24"/>
  </w:num>
  <w:num w:numId="9">
    <w:abstractNumId w:val="22"/>
  </w:num>
  <w:num w:numId="10">
    <w:abstractNumId w:val="32"/>
  </w:num>
  <w:num w:numId="11">
    <w:abstractNumId w:val="7"/>
  </w:num>
  <w:num w:numId="12">
    <w:abstractNumId w:val="8"/>
  </w:num>
  <w:num w:numId="13">
    <w:abstractNumId w:val="20"/>
  </w:num>
  <w:num w:numId="14">
    <w:abstractNumId w:val="9"/>
  </w:num>
  <w:num w:numId="15">
    <w:abstractNumId w:val="28"/>
  </w:num>
  <w:num w:numId="16">
    <w:abstractNumId w:val="12"/>
  </w:num>
  <w:num w:numId="17">
    <w:abstractNumId w:val="18"/>
  </w:num>
  <w:num w:numId="18">
    <w:abstractNumId w:val="14"/>
  </w:num>
  <w:num w:numId="19">
    <w:abstractNumId w:val="11"/>
  </w:num>
  <w:num w:numId="20">
    <w:abstractNumId w:val="0"/>
  </w:num>
  <w:num w:numId="21">
    <w:abstractNumId w:val="15"/>
  </w:num>
  <w:num w:numId="22">
    <w:abstractNumId w:val="27"/>
  </w:num>
  <w:num w:numId="23">
    <w:abstractNumId w:val="26"/>
  </w:num>
  <w:num w:numId="24">
    <w:abstractNumId w:val="13"/>
  </w:num>
  <w:num w:numId="25">
    <w:abstractNumId w:val="19"/>
  </w:num>
  <w:num w:numId="26">
    <w:abstractNumId w:val="23"/>
  </w:num>
  <w:num w:numId="27">
    <w:abstractNumId w:val="31"/>
  </w:num>
  <w:num w:numId="28">
    <w:abstractNumId w:val="29"/>
  </w:num>
  <w:num w:numId="29">
    <w:abstractNumId w:val="17"/>
  </w:num>
  <w:num w:numId="30">
    <w:abstractNumId w:val="25"/>
  </w:num>
  <w:num w:numId="31">
    <w:abstractNumId w:val="6"/>
  </w:num>
  <w:num w:numId="32">
    <w:abstractNumId w:val="21"/>
  </w:num>
  <w:num w:numId="3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H">
    <w15:presenceInfo w15:providerId="None" w15:userId="K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20"/>
    <w:rsid w:val="00005F1B"/>
    <w:rsid w:val="00006EC7"/>
    <w:rsid w:val="000224A3"/>
    <w:rsid w:val="00022CF8"/>
    <w:rsid w:val="00024F34"/>
    <w:rsid w:val="00031564"/>
    <w:rsid w:val="00042DAB"/>
    <w:rsid w:val="00043344"/>
    <w:rsid w:val="00044D4A"/>
    <w:rsid w:val="00055916"/>
    <w:rsid w:val="0006127C"/>
    <w:rsid w:val="00061F9D"/>
    <w:rsid w:val="000642DB"/>
    <w:rsid w:val="000767C5"/>
    <w:rsid w:val="00082364"/>
    <w:rsid w:val="000842A4"/>
    <w:rsid w:val="000C5D0D"/>
    <w:rsid w:val="000D2CC9"/>
    <w:rsid w:val="000D32CF"/>
    <w:rsid w:val="000D7355"/>
    <w:rsid w:val="000E38B4"/>
    <w:rsid w:val="000F38E7"/>
    <w:rsid w:val="00114CFE"/>
    <w:rsid w:val="001160E5"/>
    <w:rsid w:val="0012228B"/>
    <w:rsid w:val="00147A3E"/>
    <w:rsid w:val="00156EBD"/>
    <w:rsid w:val="00157C5F"/>
    <w:rsid w:val="00164BA3"/>
    <w:rsid w:val="00165F96"/>
    <w:rsid w:val="00171B39"/>
    <w:rsid w:val="001739AA"/>
    <w:rsid w:val="00186DC9"/>
    <w:rsid w:val="001A7FC8"/>
    <w:rsid w:val="001B3940"/>
    <w:rsid w:val="001C1595"/>
    <w:rsid w:val="001D7432"/>
    <w:rsid w:val="001E132C"/>
    <w:rsid w:val="001E5169"/>
    <w:rsid w:val="001F293F"/>
    <w:rsid w:val="001F637F"/>
    <w:rsid w:val="001F6591"/>
    <w:rsid w:val="0020449A"/>
    <w:rsid w:val="00204CFA"/>
    <w:rsid w:val="00206E71"/>
    <w:rsid w:val="0021130D"/>
    <w:rsid w:val="00227C34"/>
    <w:rsid w:val="002453AA"/>
    <w:rsid w:val="002473A7"/>
    <w:rsid w:val="002527D9"/>
    <w:rsid w:val="00264791"/>
    <w:rsid w:val="002658B0"/>
    <w:rsid w:val="002905E8"/>
    <w:rsid w:val="002A146D"/>
    <w:rsid w:val="002B3E23"/>
    <w:rsid w:val="002B532A"/>
    <w:rsid w:val="002B577E"/>
    <w:rsid w:val="002C1BE3"/>
    <w:rsid w:val="002E6147"/>
    <w:rsid w:val="0030056C"/>
    <w:rsid w:val="00303D60"/>
    <w:rsid w:val="003138FF"/>
    <w:rsid w:val="00317CD7"/>
    <w:rsid w:val="00323FA3"/>
    <w:rsid w:val="00332A6E"/>
    <w:rsid w:val="00341B1A"/>
    <w:rsid w:val="00346913"/>
    <w:rsid w:val="00347D66"/>
    <w:rsid w:val="00355C13"/>
    <w:rsid w:val="0035667D"/>
    <w:rsid w:val="0038469E"/>
    <w:rsid w:val="0039763A"/>
    <w:rsid w:val="003A36BA"/>
    <w:rsid w:val="003A770D"/>
    <w:rsid w:val="003B0D78"/>
    <w:rsid w:val="003C182E"/>
    <w:rsid w:val="003E2DB3"/>
    <w:rsid w:val="003E30A4"/>
    <w:rsid w:val="003E57BA"/>
    <w:rsid w:val="00400FB5"/>
    <w:rsid w:val="0040300B"/>
    <w:rsid w:val="004052FE"/>
    <w:rsid w:val="004140C5"/>
    <w:rsid w:val="00430EB7"/>
    <w:rsid w:val="00431257"/>
    <w:rsid w:val="004349C3"/>
    <w:rsid w:val="0043621A"/>
    <w:rsid w:val="00444CEE"/>
    <w:rsid w:val="004757E5"/>
    <w:rsid w:val="004808C9"/>
    <w:rsid w:val="004A1260"/>
    <w:rsid w:val="004C2FC9"/>
    <w:rsid w:val="004D0BFB"/>
    <w:rsid w:val="005116A1"/>
    <w:rsid w:val="00515FAB"/>
    <w:rsid w:val="00526E31"/>
    <w:rsid w:val="0053159D"/>
    <w:rsid w:val="00531A4D"/>
    <w:rsid w:val="00544320"/>
    <w:rsid w:val="00544F88"/>
    <w:rsid w:val="0055363F"/>
    <w:rsid w:val="00560FF0"/>
    <w:rsid w:val="00563B31"/>
    <w:rsid w:val="005672DF"/>
    <w:rsid w:val="00577C26"/>
    <w:rsid w:val="005910C8"/>
    <w:rsid w:val="005920AD"/>
    <w:rsid w:val="0059431A"/>
    <w:rsid w:val="005A0BB8"/>
    <w:rsid w:val="005C5183"/>
    <w:rsid w:val="005D65A9"/>
    <w:rsid w:val="005D7C68"/>
    <w:rsid w:val="005E2EAF"/>
    <w:rsid w:val="005E49A6"/>
    <w:rsid w:val="005F5B8B"/>
    <w:rsid w:val="005F64B8"/>
    <w:rsid w:val="00601BF7"/>
    <w:rsid w:val="00604B67"/>
    <w:rsid w:val="006100AC"/>
    <w:rsid w:val="00617248"/>
    <w:rsid w:val="006172C2"/>
    <w:rsid w:val="00627212"/>
    <w:rsid w:val="00647E92"/>
    <w:rsid w:val="00650659"/>
    <w:rsid w:val="006552F4"/>
    <w:rsid w:val="00660604"/>
    <w:rsid w:val="00667AEF"/>
    <w:rsid w:val="0068114F"/>
    <w:rsid w:val="00690943"/>
    <w:rsid w:val="006924CC"/>
    <w:rsid w:val="006B0B27"/>
    <w:rsid w:val="006C2C61"/>
    <w:rsid w:val="006D4332"/>
    <w:rsid w:val="006D73AB"/>
    <w:rsid w:val="006E1361"/>
    <w:rsid w:val="006F1E9C"/>
    <w:rsid w:val="00712502"/>
    <w:rsid w:val="00727A27"/>
    <w:rsid w:val="0073432D"/>
    <w:rsid w:val="00741552"/>
    <w:rsid w:val="00744354"/>
    <w:rsid w:val="00747409"/>
    <w:rsid w:val="00765BFE"/>
    <w:rsid w:val="00797492"/>
    <w:rsid w:val="007A1A24"/>
    <w:rsid w:val="007A3923"/>
    <w:rsid w:val="007B00E4"/>
    <w:rsid w:val="007B0F04"/>
    <w:rsid w:val="007C271B"/>
    <w:rsid w:val="007C5F87"/>
    <w:rsid w:val="007E3846"/>
    <w:rsid w:val="00804B04"/>
    <w:rsid w:val="00811074"/>
    <w:rsid w:val="00823AE3"/>
    <w:rsid w:val="00854783"/>
    <w:rsid w:val="008567C5"/>
    <w:rsid w:val="00865A24"/>
    <w:rsid w:val="00876AD6"/>
    <w:rsid w:val="00877F85"/>
    <w:rsid w:val="008838CF"/>
    <w:rsid w:val="008B0663"/>
    <w:rsid w:val="008B1715"/>
    <w:rsid w:val="008E0A52"/>
    <w:rsid w:val="008F1CE3"/>
    <w:rsid w:val="008F33DC"/>
    <w:rsid w:val="008F3866"/>
    <w:rsid w:val="009023FB"/>
    <w:rsid w:val="00911B49"/>
    <w:rsid w:val="00932932"/>
    <w:rsid w:val="0094538F"/>
    <w:rsid w:val="00945A0A"/>
    <w:rsid w:val="00957299"/>
    <w:rsid w:val="00960887"/>
    <w:rsid w:val="009612FF"/>
    <w:rsid w:val="00967454"/>
    <w:rsid w:val="00972BA2"/>
    <w:rsid w:val="00974EB0"/>
    <w:rsid w:val="00984681"/>
    <w:rsid w:val="00994A16"/>
    <w:rsid w:val="00997E85"/>
    <w:rsid w:val="009A7752"/>
    <w:rsid w:val="009C2F70"/>
    <w:rsid w:val="009C4859"/>
    <w:rsid w:val="009F0A1D"/>
    <w:rsid w:val="009F1D3D"/>
    <w:rsid w:val="009F649A"/>
    <w:rsid w:val="00A02A5D"/>
    <w:rsid w:val="00A0396E"/>
    <w:rsid w:val="00A162ED"/>
    <w:rsid w:val="00A20667"/>
    <w:rsid w:val="00A23420"/>
    <w:rsid w:val="00A25C87"/>
    <w:rsid w:val="00A32000"/>
    <w:rsid w:val="00A47D6D"/>
    <w:rsid w:val="00A50003"/>
    <w:rsid w:val="00A67DED"/>
    <w:rsid w:val="00A74E87"/>
    <w:rsid w:val="00A97486"/>
    <w:rsid w:val="00AB3CF2"/>
    <w:rsid w:val="00AB4F1D"/>
    <w:rsid w:val="00AF444A"/>
    <w:rsid w:val="00AF5439"/>
    <w:rsid w:val="00B00127"/>
    <w:rsid w:val="00B04F9B"/>
    <w:rsid w:val="00B0677C"/>
    <w:rsid w:val="00B248DC"/>
    <w:rsid w:val="00B273F0"/>
    <w:rsid w:val="00B35B21"/>
    <w:rsid w:val="00B677C0"/>
    <w:rsid w:val="00B72F25"/>
    <w:rsid w:val="00B731CF"/>
    <w:rsid w:val="00B80ECF"/>
    <w:rsid w:val="00B913A3"/>
    <w:rsid w:val="00BD33F9"/>
    <w:rsid w:val="00BF4B8B"/>
    <w:rsid w:val="00C03A56"/>
    <w:rsid w:val="00C117F5"/>
    <w:rsid w:val="00C20207"/>
    <w:rsid w:val="00C20780"/>
    <w:rsid w:val="00C2723B"/>
    <w:rsid w:val="00C42ACB"/>
    <w:rsid w:val="00C47E13"/>
    <w:rsid w:val="00C6188E"/>
    <w:rsid w:val="00C6557F"/>
    <w:rsid w:val="00C65AA1"/>
    <w:rsid w:val="00CD09EA"/>
    <w:rsid w:val="00CF2433"/>
    <w:rsid w:val="00CF2BD9"/>
    <w:rsid w:val="00CF367B"/>
    <w:rsid w:val="00D11FF2"/>
    <w:rsid w:val="00D5311D"/>
    <w:rsid w:val="00D60922"/>
    <w:rsid w:val="00D855B8"/>
    <w:rsid w:val="00D87C83"/>
    <w:rsid w:val="00D96CB1"/>
    <w:rsid w:val="00DA379C"/>
    <w:rsid w:val="00DE3AFE"/>
    <w:rsid w:val="00DF6A51"/>
    <w:rsid w:val="00E06C47"/>
    <w:rsid w:val="00E22110"/>
    <w:rsid w:val="00E245A4"/>
    <w:rsid w:val="00E546B5"/>
    <w:rsid w:val="00E54BDD"/>
    <w:rsid w:val="00E67D14"/>
    <w:rsid w:val="00E70600"/>
    <w:rsid w:val="00E71E72"/>
    <w:rsid w:val="00E819AE"/>
    <w:rsid w:val="00EA7354"/>
    <w:rsid w:val="00ED4F2D"/>
    <w:rsid w:val="00EF6F39"/>
    <w:rsid w:val="00F339DA"/>
    <w:rsid w:val="00F81B00"/>
    <w:rsid w:val="00F83C84"/>
    <w:rsid w:val="00FB1BF7"/>
    <w:rsid w:val="00FC59C6"/>
    <w:rsid w:val="00FD6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433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2F7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320"/>
    <w:rPr>
      <w:color w:val="0000FF" w:themeColor="hyperlink"/>
      <w:u w:val="single"/>
    </w:rPr>
  </w:style>
  <w:style w:type="paragraph" w:styleId="ListParagraph">
    <w:name w:val="List Paragraph"/>
    <w:basedOn w:val="Normal"/>
    <w:uiPriority w:val="34"/>
    <w:qFormat/>
    <w:rsid w:val="008567C5"/>
    <w:pPr>
      <w:ind w:left="720"/>
      <w:contextualSpacing/>
    </w:pPr>
  </w:style>
  <w:style w:type="paragraph" w:styleId="FootnoteText">
    <w:name w:val="footnote text"/>
    <w:basedOn w:val="Normal"/>
    <w:link w:val="FootnoteTextChar"/>
    <w:uiPriority w:val="99"/>
    <w:unhideWhenUsed/>
    <w:rsid w:val="008567C5"/>
  </w:style>
  <w:style w:type="character" w:customStyle="1" w:styleId="FootnoteTextChar">
    <w:name w:val="Footnote Text Char"/>
    <w:basedOn w:val="DefaultParagraphFont"/>
    <w:link w:val="FootnoteText"/>
    <w:uiPriority w:val="99"/>
    <w:rsid w:val="008567C5"/>
  </w:style>
  <w:style w:type="character" w:styleId="FootnoteReference">
    <w:name w:val="footnote reference"/>
    <w:basedOn w:val="DefaultParagraphFont"/>
    <w:uiPriority w:val="99"/>
    <w:unhideWhenUsed/>
    <w:rsid w:val="008567C5"/>
    <w:rPr>
      <w:vertAlign w:val="superscript"/>
    </w:rPr>
  </w:style>
  <w:style w:type="character" w:styleId="CommentReference">
    <w:name w:val="annotation reference"/>
    <w:basedOn w:val="DefaultParagraphFont"/>
    <w:uiPriority w:val="99"/>
    <w:semiHidden/>
    <w:unhideWhenUsed/>
    <w:rsid w:val="009612FF"/>
    <w:rPr>
      <w:sz w:val="16"/>
      <w:szCs w:val="16"/>
    </w:rPr>
  </w:style>
  <w:style w:type="paragraph" w:styleId="CommentText">
    <w:name w:val="annotation text"/>
    <w:basedOn w:val="Normal"/>
    <w:link w:val="CommentTextChar"/>
    <w:uiPriority w:val="99"/>
    <w:semiHidden/>
    <w:unhideWhenUsed/>
    <w:rsid w:val="009612FF"/>
    <w:rPr>
      <w:sz w:val="20"/>
      <w:szCs w:val="20"/>
    </w:rPr>
  </w:style>
  <w:style w:type="character" w:customStyle="1" w:styleId="CommentTextChar">
    <w:name w:val="Comment Text Char"/>
    <w:basedOn w:val="DefaultParagraphFont"/>
    <w:link w:val="CommentText"/>
    <w:uiPriority w:val="99"/>
    <w:semiHidden/>
    <w:rsid w:val="009612FF"/>
    <w:rPr>
      <w:sz w:val="20"/>
      <w:szCs w:val="20"/>
    </w:rPr>
  </w:style>
  <w:style w:type="paragraph" w:styleId="CommentSubject">
    <w:name w:val="annotation subject"/>
    <w:basedOn w:val="CommentText"/>
    <w:next w:val="CommentText"/>
    <w:link w:val="CommentSubjectChar"/>
    <w:uiPriority w:val="99"/>
    <w:semiHidden/>
    <w:unhideWhenUsed/>
    <w:rsid w:val="009612FF"/>
    <w:rPr>
      <w:b/>
      <w:bCs/>
    </w:rPr>
  </w:style>
  <w:style w:type="character" w:customStyle="1" w:styleId="CommentSubjectChar">
    <w:name w:val="Comment Subject Char"/>
    <w:basedOn w:val="CommentTextChar"/>
    <w:link w:val="CommentSubject"/>
    <w:uiPriority w:val="99"/>
    <w:semiHidden/>
    <w:rsid w:val="009612FF"/>
    <w:rPr>
      <w:b/>
      <w:bCs/>
      <w:sz w:val="20"/>
      <w:szCs w:val="20"/>
    </w:rPr>
  </w:style>
  <w:style w:type="paragraph" w:styleId="BalloonText">
    <w:name w:val="Balloon Text"/>
    <w:basedOn w:val="Normal"/>
    <w:link w:val="BalloonTextChar"/>
    <w:uiPriority w:val="99"/>
    <w:semiHidden/>
    <w:unhideWhenUsed/>
    <w:rsid w:val="009612FF"/>
    <w:rPr>
      <w:rFonts w:ascii="Tahoma" w:hAnsi="Tahoma" w:cs="Tahoma"/>
      <w:sz w:val="16"/>
      <w:szCs w:val="16"/>
    </w:rPr>
  </w:style>
  <w:style w:type="character" w:customStyle="1" w:styleId="BalloonTextChar">
    <w:name w:val="Balloon Text Char"/>
    <w:basedOn w:val="DefaultParagraphFont"/>
    <w:link w:val="BalloonText"/>
    <w:uiPriority w:val="99"/>
    <w:semiHidden/>
    <w:rsid w:val="009612FF"/>
    <w:rPr>
      <w:rFonts w:ascii="Tahoma" w:hAnsi="Tahoma" w:cs="Tahoma"/>
      <w:sz w:val="16"/>
      <w:szCs w:val="16"/>
    </w:rPr>
  </w:style>
  <w:style w:type="paragraph" w:styleId="Revision">
    <w:name w:val="Revision"/>
    <w:hidden/>
    <w:uiPriority w:val="99"/>
    <w:semiHidden/>
    <w:rsid w:val="000E38B4"/>
  </w:style>
  <w:style w:type="paragraph" w:styleId="Header">
    <w:name w:val="header"/>
    <w:basedOn w:val="Normal"/>
    <w:link w:val="HeaderChar"/>
    <w:uiPriority w:val="99"/>
    <w:unhideWhenUsed/>
    <w:rsid w:val="00D5311D"/>
    <w:pPr>
      <w:tabs>
        <w:tab w:val="center" w:pos="4680"/>
        <w:tab w:val="right" w:pos="9360"/>
      </w:tabs>
    </w:pPr>
  </w:style>
  <w:style w:type="character" w:customStyle="1" w:styleId="HeaderChar">
    <w:name w:val="Header Char"/>
    <w:basedOn w:val="DefaultParagraphFont"/>
    <w:link w:val="Header"/>
    <w:uiPriority w:val="99"/>
    <w:rsid w:val="00D5311D"/>
  </w:style>
  <w:style w:type="paragraph" w:styleId="Footer">
    <w:name w:val="footer"/>
    <w:basedOn w:val="Normal"/>
    <w:link w:val="FooterChar"/>
    <w:uiPriority w:val="99"/>
    <w:unhideWhenUsed/>
    <w:rsid w:val="00D5311D"/>
    <w:pPr>
      <w:tabs>
        <w:tab w:val="center" w:pos="4680"/>
        <w:tab w:val="right" w:pos="9360"/>
      </w:tabs>
    </w:pPr>
  </w:style>
  <w:style w:type="character" w:customStyle="1" w:styleId="FooterChar">
    <w:name w:val="Footer Char"/>
    <w:basedOn w:val="DefaultParagraphFont"/>
    <w:link w:val="Footer"/>
    <w:uiPriority w:val="99"/>
    <w:rsid w:val="00D5311D"/>
  </w:style>
  <w:style w:type="paragraph" w:styleId="NormalWeb">
    <w:name w:val="Normal (Web)"/>
    <w:basedOn w:val="Normal"/>
    <w:uiPriority w:val="99"/>
    <w:semiHidden/>
    <w:unhideWhenUsed/>
    <w:rsid w:val="00147A3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9C2F7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C2F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2F7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D433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F81B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433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2F7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320"/>
    <w:rPr>
      <w:color w:val="0000FF" w:themeColor="hyperlink"/>
      <w:u w:val="single"/>
    </w:rPr>
  </w:style>
  <w:style w:type="paragraph" w:styleId="ListParagraph">
    <w:name w:val="List Paragraph"/>
    <w:basedOn w:val="Normal"/>
    <w:uiPriority w:val="34"/>
    <w:qFormat/>
    <w:rsid w:val="008567C5"/>
    <w:pPr>
      <w:ind w:left="720"/>
      <w:contextualSpacing/>
    </w:pPr>
  </w:style>
  <w:style w:type="paragraph" w:styleId="FootnoteText">
    <w:name w:val="footnote text"/>
    <w:basedOn w:val="Normal"/>
    <w:link w:val="FootnoteTextChar"/>
    <w:uiPriority w:val="99"/>
    <w:unhideWhenUsed/>
    <w:rsid w:val="008567C5"/>
  </w:style>
  <w:style w:type="character" w:customStyle="1" w:styleId="FootnoteTextChar">
    <w:name w:val="Footnote Text Char"/>
    <w:basedOn w:val="DefaultParagraphFont"/>
    <w:link w:val="FootnoteText"/>
    <w:uiPriority w:val="99"/>
    <w:rsid w:val="008567C5"/>
  </w:style>
  <w:style w:type="character" w:styleId="FootnoteReference">
    <w:name w:val="footnote reference"/>
    <w:basedOn w:val="DefaultParagraphFont"/>
    <w:uiPriority w:val="99"/>
    <w:unhideWhenUsed/>
    <w:rsid w:val="008567C5"/>
    <w:rPr>
      <w:vertAlign w:val="superscript"/>
    </w:rPr>
  </w:style>
  <w:style w:type="character" w:styleId="CommentReference">
    <w:name w:val="annotation reference"/>
    <w:basedOn w:val="DefaultParagraphFont"/>
    <w:uiPriority w:val="99"/>
    <w:semiHidden/>
    <w:unhideWhenUsed/>
    <w:rsid w:val="009612FF"/>
    <w:rPr>
      <w:sz w:val="16"/>
      <w:szCs w:val="16"/>
    </w:rPr>
  </w:style>
  <w:style w:type="paragraph" w:styleId="CommentText">
    <w:name w:val="annotation text"/>
    <w:basedOn w:val="Normal"/>
    <w:link w:val="CommentTextChar"/>
    <w:uiPriority w:val="99"/>
    <w:semiHidden/>
    <w:unhideWhenUsed/>
    <w:rsid w:val="009612FF"/>
    <w:rPr>
      <w:sz w:val="20"/>
      <w:szCs w:val="20"/>
    </w:rPr>
  </w:style>
  <w:style w:type="character" w:customStyle="1" w:styleId="CommentTextChar">
    <w:name w:val="Comment Text Char"/>
    <w:basedOn w:val="DefaultParagraphFont"/>
    <w:link w:val="CommentText"/>
    <w:uiPriority w:val="99"/>
    <w:semiHidden/>
    <w:rsid w:val="009612FF"/>
    <w:rPr>
      <w:sz w:val="20"/>
      <w:szCs w:val="20"/>
    </w:rPr>
  </w:style>
  <w:style w:type="paragraph" w:styleId="CommentSubject">
    <w:name w:val="annotation subject"/>
    <w:basedOn w:val="CommentText"/>
    <w:next w:val="CommentText"/>
    <w:link w:val="CommentSubjectChar"/>
    <w:uiPriority w:val="99"/>
    <w:semiHidden/>
    <w:unhideWhenUsed/>
    <w:rsid w:val="009612FF"/>
    <w:rPr>
      <w:b/>
      <w:bCs/>
    </w:rPr>
  </w:style>
  <w:style w:type="character" w:customStyle="1" w:styleId="CommentSubjectChar">
    <w:name w:val="Comment Subject Char"/>
    <w:basedOn w:val="CommentTextChar"/>
    <w:link w:val="CommentSubject"/>
    <w:uiPriority w:val="99"/>
    <w:semiHidden/>
    <w:rsid w:val="009612FF"/>
    <w:rPr>
      <w:b/>
      <w:bCs/>
      <w:sz w:val="20"/>
      <w:szCs w:val="20"/>
    </w:rPr>
  </w:style>
  <w:style w:type="paragraph" w:styleId="BalloonText">
    <w:name w:val="Balloon Text"/>
    <w:basedOn w:val="Normal"/>
    <w:link w:val="BalloonTextChar"/>
    <w:uiPriority w:val="99"/>
    <w:semiHidden/>
    <w:unhideWhenUsed/>
    <w:rsid w:val="009612FF"/>
    <w:rPr>
      <w:rFonts w:ascii="Tahoma" w:hAnsi="Tahoma" w:cs="Tahoma"/>
      <w:sz w:val="16"/>
      <w:szCs w:val="16"/>
    </w:rPr>
  </w:style>
  <w:style w:type="character" w:customStyle="1" w:styleId="BalloonTextChar">
    <w:name w:val="Balloon Text Char"/>
    <w:basedOn w:val="DefaultParagraphFont"/>
    <w:link w:val="BalloonText"/>
    <w:uiPriority w:val="99"/>
    <w:semiHidden/>
    <w:rsid w:val="009612FF"/>
    <w:rPr>
      <w:rFonts w:ascii="Tahoma" w:hAnsi="Tahoma" w:cs="Tahoma"/>
      <w:sz w:val="16"/>
      <w:szCs w:val="16"/>
    </w:rPr>
  </w:style>
  <w:style w:type="paragraph" w:styleId="Revision">
    <w:name w:val="Revision"/>
    <w:hidden/>
    <w:uiPriority w:val="99"/>
    <w:semiHidden/>
    <w:rsid w:val="000E38B4"/>
  </w:style>
  <w:style w:type="paragraph" w:styleId="Header">
    <w:name w:val="header"/>
    <w:basedOn w:val="Normal"/>
    <w:link w:val="HeaderChar"/>
    <w:uiPriority w:val="99"/>
    <w:unhideWhenUsed/>
    <w:rsid w:val="00D5311D"/>
    <w:pPr>
      <w:tabs>
        <w:tab w:val="center" w:pos="4680"/>
        <w:tab w:val="right" w:pos="9360"/>
      </w:tabs>
    </w:pPr>
  </w:style>
  <w:style w:type="character" w:customStyle="1" w:styleId="HeaderChar">
    <w:name w:val="Header Char"/>
    <w:basedOn w:val="DefaultParagraphFont"/>
    <w:link w:val="Header"/>
    <w:uiPriority w:val="99"/>
    <w:rsid w:val="00D5311D"/>
  </w:style>
  <w:style w:type="paragraph" w:styleId="Footer">
    <w:name w:val="footer"/>
    <w:basedOn w:val="Normal"/>
    <w:link w:val="FooterChar"/>
    <w:uiPriority w:val="99"/>
    <w:unhideWhenUsed/>
    <w:rsid w:val="00D5311D"/>
    <w:pPr>
      <w:tabs>
        <w:tab w:val="center" w:pos="4680"/>
        <w:tab w:val="right" w:pos="9360"/>
      </w:tabs>
    </w:pPr>
  </w:style>
  <w:style w:type="character" w:customStyle="1" w:styleId="FooterChar">
    <w:name w:val="Footer Char"/>
    <w:basedOn w:val="DefaultParagraphFont"/>
    <w:link w:val="Footer"/>
    <w:uiPriority w:val="99"/>
    <w:rsid w:val="00D5311D"/>
  </w:style>
  <w:style w:type="paragraph" w:styleId="NormalWeb">
    <w:name w:val="Normal (Web)"/>
    <w:basedOn w:val="Normal"/>
    <w:uiPriority w:val="99"/>
    <w:semiHidden/>
    <w:unhideWhenUsed/>
    <w:rsid w:val="00147A3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9C2F7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C2F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2F7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D433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F81B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360">
      <w:bodyDiv w:val="1"/>
      <w:marLeft w:val="0"/>
      <w:marRight w:val="0"/>
      <w:marTop w:val="0"/>
      <w:marBottom w:val="0"/>
      <w:divBdr>
        <w:top w:val="none" w:sz="0" w:space="0" w:color="auto"/>
        <w:left w:val="none" w:sz="0" w:space="0" w:color="auto"/>
        <w:bottom w:val="none" w:sz="0" w:space="0" w:color="auto"/>
        <w:right w:val="none" w:sz="0" w:space="0" w:color="auto"/>
      </w:divBdr>
    </w:div>
    <w:div w:id="515462754">
      <w:bodyDiv w:val="1"/>
      <w:marLeft w:val="0"/>
      <w:marRight w:val="0"/>
      <w:marTop w:val="0"/>
      <w:marBottom w:val="0"/>
      <w:divBdr>
        <w:top w:val="none" w:sz="0" w:space="0" w:color="auto"/>
        <w:left w:val="none" w:sz="0" w:space="0" w:color="auto"/>
        <w:bottom w:val="none" w:sz="0" w:space="0" w:color="auto"/>
        <w:right w:val="none" w:sz="0" w:space="0" w:color="auto"/>
      </w:divBdr>
    </w:div>
    <w:div w:id="815341823">
      <w:bodyDiv w:val="1"/>
      <w:marLeft w:val="0"/>
      <w:marRight w:val="0"/>
      <w:marTop w:val="0"/>
      <w:marBottom w:val="0"/>
      <w:divBdr>
        <w:top w:val="none" w:sz="0" w:space="0" w:color="auto"/>
        <w:left w:val="none" w:sz="0" w:space="0" w:color="auto"/>
        <w:bottom w:val="none" w:sz="0" w:space="0" w:color="auto"/>
        <w:right w:val="none" w:sz="0" w:space="0" w:color="auto"/>
      </w:divBdr>
    </w:div>
    <w:div w:id="1136291722">
      <w:bodyDiv w:val="1"/>
      <w:marLeft w:val="0"/>
      <w:marRight w:val="0"/>
      <w:marTop w:val="0"/>
      <w:marBottom w:val="0"/>
      <w:divBdr>
        <w:top w:val="none" w:sz="0" w:space="0" w:color="auto"/>
        <w:left w:val="none" w:sz="0" w:space="0" w:color="auto"/>
        <w:bottom w:val="none" w:sz="0" w:space="0" w:color="auto"/>
        <w:right w:val="none" w:sz="0" w:space="0" w:color="auto"/>
      </w:divBdr>
      <w:divsChild>
        <w:div w:id="1586722539">
          <w:marLeft w:val="0"/>
          <w:marRight w:val="0"/>
          <w:marTop w:val="0"/>
          <w:marBottom w:val="0"/>
          <w:divBdr>
            <w:top w:val="none" w:sz="0" w:space="0" w:color="auto"/>
            <w:left w:val="none" w:sz="0" w:space="0" w:color="auto"/>
            <w:bottom w:val="none" w:sz="0" w:space="0" w:color="auto"/>
            <w:right w:val="none" w:sz="0" w:space="0" w:color="auto"/>
          </w:divBdr>
          <w:divsChild>
            <w:div w:id="347023345">
              <w:marLeft w:val="0"/>
              <w:marRight w:val="0"/>
              <w:marTop w:val="0"/>
              <w:marBottom w:val="0"/>
              <w:divBdr>
                <w:top w:val="none" w:sz="0" w:space="0" w:color="auto"/>
                <w:left w:val="none" w:sz="0" w:space="0" w:color="auto"/>
                <w:bottom w:val="none" w:sz="0" w:space="0" w:color="auto"/>
                <w:right w:val="none" w:sz="0" w:space="0" w:color="auto"/>
              </w:divBdr>
              <w:divsChild>
                <w:div w:id="10016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87083">
      <w:bodyDiv w:val="1"/>
      <w:marLeft w:val="0"/>
      <w:marRight w:val="0"/>
      <w:marTop w:val="0"/>
      <w:marBottom w:val="0"/>
      <w:divBdr>
        <w:top w:val="none" w:sz="0" w:space="0" w:color="auto"/>
        <w:left w:val="none" w:sz="0" w:space="0" w:color="auto"/>
        <w:bottom w:val="none" w:sz="0" w:space="0" w:color="auto"/>
        <w:right w:val="none" w:sz="0" w:space="0" w:color="auto"/>
      </w:divBdr>
    </w:div>
    <w:div w:id="1367370366">
      <w:bodyDiv w:val="1"/>
      <w:marLeft w:val="0"/>
      <w:marRight w:val="0"/>
      <w:marTop w:val="0"/>
      <w:marBottom w:val="0"/>
      <w:divBdr>
        <w:top w:val="none" w:sz="0" w:space="0" w:color="auto"/>
        <w:left w:val="none" w:sz="0" w:space="0" w:color="auto"/>
        <w:bottom w:val="none" w:sz="0" w:space="0" w:color="auto"/>
        <w:right w:val="none" w:sz="0" w:space="0" w:color="auto"/>
      </w:divBdr>
    </w:div>
    <w:div w:id="1441339086">
      <w:bodyDiv w:val="1"/>
      <w:marLeft w:val="0"/>
      <w:marRight w:val="0"/>
      <w:marTop w:val="0"/>
      <w:marBottom w:val="0"/>
      <w:divBdr>
        <w:top w:val="none" w:sz="0" w:space="0" w:color="auto"/>
        <w:left w:val="none" w:sz="0" w:space="0" w:color="auto"/>
        <w:bottom w:val="none" w:sz="0" w:space="0" w:color="auto"/>
        <w:right w:val="none" w:sz="0" w:space="0" w:color="auto"/>
      </w:divBdr>
      <w:divsChild>
        <w:div w:id="1081685520">
          <w:marLeft w:val="0"/>
          <w:marRight w:val="0"/>
          <w:marTop w:val="0"/>
          <w:marBottom w:val="0"/>
          <w:divBdr>
            <w:top w:val="none" w:sz="0" w:space="0" w:color="auto"/>
            <w:left w:val="none" w:sz="0" w:space="0" w:color="auto"/>
            <w:bottom w:val="none" w:sz="0" w:space="0" w:color="auto"/>
            <w:right w:val="none" w:sz="0" w:space="0" w:color="auto"/>
          </w:divBdr>
          <w:divsChild>
            <w:div w:id="958605123">
              <w:marLeft w:val="0"/>
              <w:marRight w:val="0"/>
              <w:marTop w:val="0"/>
              <w:marBottom w:val="0"/>
              <w:divBdr>
                <w:top w:val="none" w:sz="0" w:space="0" w:color="auto"/>
                <w:left w:val="none" w:sz="0" w:space="0" w:color="auto"/>
                <w:bottom w:val="none" w:sz="0" w:space="0" w:color="auto"/>
                <w:right w:val="none" w:sz="0" w:space="0" w:color="auto"/>
              </w:divBdr>
              <w:divsChild>
                <w:div w:id="109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5571">
          <w:marLeft w:val="0"/>
          <w:marRight w:val="0"/>
          <w:marTop w:val="0"/>
          <w:marBottom w:val="0"/>
          <w:divBdr>
            <w:top w:val="none" w:sz="0" w:space="0" w:color="auto"/>
            <w:left w:val="none" w:sz="0" w:space="0" w:color="auto"/>
            <w:bottom w:val="none" w:sz="0" w:space="0" w:color="auto"/>
            <w:right w:val="none" w:sz="0" w:space="0" w:color="auto"/>
          </w:divBdr>
          <w:divsChild>
            <w:div w:id="1705594836">
              <w:marLeft w:val="0"/>
              <w:marRight w:val="0"/>
              <w:marTop w:val="0"/>
              <w:marBottom w:val="0"/>
              <w:divBdr>
                <w:top w:val="none" w:sz="0" w:space="0" w:color="auto"/>
                <w:left w:val="none" w:sz="0" w:space="0" w:color="auto"/>
                <w:bottom w:val="none" w:sz="0" w:space="0" w:color="auto"/>
                <w:right w:val="none" w:sz="0" w:space="0" w:color="auto"/>
              </w:divBdr>
              <w:divsChild>
                <w:div w:id="181164254">
                  <w:marLeft w:val="0"/>
                  <w:marRight w:val="0"/>
                  <w:marTop w:val="0"/>
                  <w:marBottom w:val="0"/>
                  <w:divBdr>
                    <w:top w:val="none" w:sz="0" w:space="0" w:color="auto"/>
                    <w:left w:val="none" w:sz="0" w:space="0" w:color="auto"/>
                    <w:bottom w:val="none" w:sz="0" w:space="0" w:color="auto"/>
                    <w:right w:val="none" w:sz="0" w:space="0" w:color="auto"/>
                  </w:divBdr>
                </w:div>
              </w:divsChild>
            </w:div>
            <w:div w:id="2100981906">
              <w:marLeft w:val="0"/>
              <w:marRight w:val="0"/>
              <w:marTop w:val="0"/>
              <w:marBottom w:val="0"/>
              <w:divBdr>
                <w:top w:val="none" w:sz="0" w:space="0" w:color="auto"/>
                <w:left w:val="none" w:sz="0" w:space="0" w:color="auto"/>
                <w:bottom w:val="none" w:sz="0" w:space="0" w:color="auto"/>
                <w:right w:val="none" w:sz="0" w:space="0" w:color="auto"/>
              </w:divBdr>
              <w:divsChild>
                <w:div w:id="2606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76251">
      <w:bodyDiv w:val="1"/>
      <w:marLeft w:val="0"/>
      <w:marRight w:val="0"/>
      <w:marTop w:val="0"/>
      <w:marBottom w:val="0"/>
      <w:divBdr>
        <w:top w:val="none" w:sz="0" w:space="0" w:color="auto"/>
        <w:left w:val="none" w:sz="0" w:space="0" w:color="auto"/>
        <w:bottom w:val="none" w:sz="0" w:space="0" w:color="auto"/>
        <w:right w:val="none" w:sz="0" w:space="0" w:color="auto"/>
      </w:divBdr>
    </w:div>
    <w:div w:id="1536890217">
      <w:bodyDiv w:val="1"/>
      <w:marLeft w:val="0"/>
      <w:marRight w:val="0"/>
      <w:marTop w:val="0"/>
      <w:marBottom w:val="0"/>
      <w:divBdr>
        <w:top w:val="none" w:sz="0" w:space="0" w:color="auto"/>
        <w:left w:val="none" w:sz="0" w:space="0" w:color="auto"/>
        <w:bottom w:val="none" w:sz="0" w:space="0" w:color="auto"/>
        <w:right w:val="none" w:sz="0" w:space="0" w:color="auto"/>
      </w:divBdr>
    </w:div>
    <w:div w:id="2096048779">
      <w:bodyDiv w:val="1"/>
      <w:marLeft w:val="0"/>
      <w:marRight w:val="0"/>
      <w:marTop w:val="0"/>
      <w:marBottom w:val="0"/>
      <w:divBdr>
        <w:top w:val="none" w:sz="0" w:space="0" w:color="auto"/>
        <w:left w:val="none" w:sz="0" w:space="0" w:color="auto"/>
        <w:bottom w:val="none" w:sz="0" w:space="0" w:color="auto"/>
        <w:right w:val="none" w:sz="0" w:space="0" w:color="auto"/>
      </w:divBdr>
      <w:divsChild>
        <w:div w:id="1813330732">
          <w:marLeft w:val="0"/>
          <w:marRight w:val="0"/>
          <w:marTop w:val="0"/>
          <w:marBottom w:val="0"/>
          <w:divBdr>
            <w:top w:val="none" w:sz="0" w:space="0" w:color="auto"/>
            <w:left w:val="none" w:sz="0" w:space="0" w:color="auto"/>
            <w:bottom w:val="none" w:sz="0" w:space="0" w:color="auto"/>
            <w:right w:val="none" w:sz="0" w:space="0" w:color="auto"/>
          </w:divBdr>
          <w:divsChild>
            <w:div w:id="927346077">
              <w:marLeft w:val="0"/>
              <w:marRight w:val="0"/>
              <w:marTop w:val="0"/>
              <w:marBottom w:val="0"/>
              <w:divBdr>
                <w:top w:val="none" w:sz="0" w:space="0" w:color="auto"/>
                <w:left w:val="none" w:sz="0" w:space="0" w:color="auto"/>
                <w:bottom w:val="none" w:sz="0" w:space="0" w:color="auto"/>
                <w:right w:val="none" w:sz="0" w:space="0" w:color="auto"/>
              </w:divBdr>
              <w:divsChild>
                <w:div w:id="14593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3808">
          <w:marLeft w:val="0"/>
          <w:marRight w:val="0"/>
          <w:marTop w:val="0"/>
          <w:marBottom w:val="0"/>
          <w:divBdr>
            <w:top w:val="none" w:sz="0" w:space="0" w:color="auto"/>
            <w:left w:val="none" w:sz="0" w:space="0" w:color="auto"/>
            <w:bottom w:val="none" w:sz="0" w:space="0" w:color="auto"/>
            <w:right w:val="none" w:sz="0" w:space="0" w:color="auto"/>
          </w:divBdr>
          <w:divsChild>
            <w:div w:id="1691032643">
              <w:marLeft w:val="0"/>
              <w:marRight w:val="0"/>
              <w:marTop w:val="0"/>
              <w:marBottom w:val="0"/>
              <w:divBdr>
                <w:top w:val="none" w:sz="0" w:space="0" w:color="auto"/>
                <w:left w:val="none" w:sz="0" w:space="0" w:color="auto"/>
                <w:bottom w:val="none" w:sz="0" w:space="0" w:color="auto"/>
                <w:right w:val="none" w:sz="0" w:space="0" w:color="auto"/>
              </w:divBdr>
              <w:divsChild>
                <w:div w:id="715351847">
                  <w:marLeft w:val="0"/>
                  <w:marRight w:val="0"/>
                  <w:marTop w:val="0"/>
                  <w:marBottom w:val="0"/>
                  <w:divBdr>
                    <w:top w:val="none" w:sz="0" w:space="0" w:color="auto"/>
                    <w:left w:val="none" w:sz="0" w:space="0" w:color="auto"/>
                    <w:bottom w:val="none" w:sz="0" w:space="0" w:color="auto"/>
                    <w:right w:val="none" w:sz="0" w:space="0" w:color="auto"/>
                  </w:divBdr>
                </w:div>
              </w:divsChild>
            </w:div>
            <w:div w:id="1223179899">
              <w:marLeft w:val="0"/>
              <w:marRight w:val="0"/>
              <w:marTop w:val="0"/>
              <w:marBottom w:val="0"/>
              <w:divBdr>
                <w:top w:val="none" w:sz="0" w:space="0" w:color="auto"/>
                <w:left w:val="none" w:sz="0" w:space="0" w:color="auto"/>
                <w:bottom w:val="none" w:sz="0" w:space="0" w:color="auto"/>
                <w:right w:val="none" w:sz="0" w:space="0" w:color="auto"/>
              </w:divBdr>
              <w:divsChild>
                <w:div w:id="9453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eec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cs.cpuc.ca.gov/SearchRes.aspx?DocFormat=ALL&amp;DocID=156129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07E3D-DD73-48A2-BAB4-0C3EC500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3330</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Port of Oakland</Company>
  <LinksUpToDate>false</LinksUpToDate>
  <CharactersWithSpaces>22273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piafranzese</dc:creator>
  <cp:lastModifiedBy>Franzese, Peter</cp:lastModifiedBy>
  <cp:revision>2</cp:revision>
  <cp:lastPrinted>2016-05-04T14:18:00Z</cp:lastPrinted>
  <dcterms:created xsi:type="dcterms:W3CDTF">2016-05-23T16:07:00Z</dcterms:created>
  <dcterms:modified xsi:type="dcterms:W3CDTF">2016-05-23T16:07:00Z</dcterms:modified>
</cp:coreProperties>
</file>