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56A865" w14:textId="77777777" w:rsidR="00B70FC5" w:rsidRPr="00E94F1D" w:rsidRDefault="00B70FC5" w:rsidP="00E37F49">
      <w:pPr>
        <w:pStyle w:val="Resumetextindent"/>
      </w:pPr>
      <w:bookmarkStart w:id="0" w:name="_GoBack"/>
      <w:bookmarkEnd w:id="0"/>
    </w:p>
    <w:p w14:paraId="49872413" w14:textId="77777777" w:rsidR="002773F5" w:rsidRPr="00B70FC5" w:rsidRDefault="002773F5" w:rsidP="00B70FC5"/>
    <w:p w14:paraId="77F43B93" w14:textId="77777777" w:rsidR="001F5F25" w:rsidRDefault="001F5F25" w:rsidP="003E5FF0">
      <w:pPr>
        <w:pStyle w:val="Headline"/>
      </w:pPr>
    </w:p>
    <w:p w14:paraId="6F9E6DD6" w14:textId="735AA42D" w:rsidR="001F5F25" w:rsidRDefault="00E61156" w:rsidP="003E5FF0">
      <w:pPr>
        <w:pStyle w:val="Headline"/>
      </w:pPr>
      <w:r>
        <w:t xml:space="preserve"> </w:t>
      </w:r>
    </w:p>
    <w:p w14:paraId="2BE8991D" w14:textId="77777777" w:rsidR="001F5F25" w:rsidRDefault="001F5F25" w:rsidP="003E5FF0">
      <w:pPr>
        <w:pStyle w:val="Headline"/>
      </w:pPr>
    </w:p>
    <w:p w14:paraId="607FD0A1" w14:textId="77777777" w:rsidR="003E5FF0" w:rsidRDefault="009B6F75" w:rsidP="003E5FF0">
      <w:pPr>
        <w:pStyle w:val="Headline"/>
      </w:pPr>
      <w:r>
        <w:t xml:space="preserve">2013-2015 Regional Energy Networks </w:t>
      </w:r>
      <w:r w:rsidR="003E5FF0">
        <w:br/>
        <w:t xml:space="preserve">DRAFT </w:t>
      </w:r>
      <w:r>
        <w:t xml:space="preserve">Impact </w:t>
      </w:r>
      <w:r w:rsidR="003E5FF0">
        <w:t>Evaluation Research Plan</w:t>
      </w:r>
    </w:p>
    <w:p w14:paraId="2273A7A0" w14:textId="77777777" w:rsidR="003E5FF0" w:rsidRDefault="003E5FF0" w:rsidP="00204BE1">
      <w:pPr>
        <w:pStyle w:val="SubHeadline"/>
      </w:pPr>
      <w:r>
        <w:rPr>
          <w:noProof/>
          <w:lang w:val="en-US"/>
        </w:rPr>
        <w:drawing>
          <wp:inline distT="0" distB="0" distL="0" distR="0" wp14:anchorId="0D89A184" wp14:editId="74060BE8">
            <wp:extent cx="1981200" cy="19327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81200" cy="1932730"/>
                    </a:xfrm>
                    <a:prstGeom prst="rect">
                      <a:avLst/>
                    </a:prstGeom>
                    <a:noFill/>
                    <a:ln>
                      <a:noFill/>
                    </a:ln>
                  </pic:spPr>
                </pic:pic>
              </a:graphicData>
            </a:graphic>
          </wp:inline>
        </w:drawing>
      </w:r>
    </w:p>
    <w:p w14:paraId="49F2779F" w14:textId="77777777" w:rsidR="003E5FF0" w:rsidRDefault="003E5FF0" w:rsidP="00204BE1">
      <w:pPr>
        <w:pStyle w:val="SubHeadline"/>
      </w:pPr>
    </w:p>
    <w:p w14:paraId="75E3E813" w14:textId="77777777" w:rsidR="00595A28" w:rsidRPr="00204BE1" w:rsidRDefault="003E5FF0" w:rsidP="00204BE1">
      <w:pPr>
        <w:pStyle w:val="SubHeadline"/>
      </w:pPr>
      <w:r>
        <w:t>Prepared for the Energy Division of the California Public Utilities Commission</w:t>
      </w:r>
    </w:p>
    <w:p w14:paraId="434B0E86" w14:textId="77777777" w:rsidR="004C1C57" w:rsidRPr="00E16C79" w:rsidRDefault="004C1C57" w:rsidP="00B70FC5">
      <w:pPr>
        <w:rPr>
          <w:sz w:val="16"/>
          <w:szCs w:val="16"/>
        </w:rPr>
      </w:pPr>
    </w:p>
    <w:p w14:paraId="3178FAA1" w14:textId="2FCD1C08" w:rsidR="007F3894" w:rsidRPr="00E16C79" w:rsidRDefault="007F3894" w:rsidP="00073FB9">
      <w:pPr>
        <w:rPr>
          <w:sz w:val="28"/>
          <w:szCs w:val="28"/>
        </w:rPr>
      </w:pPr>
      <w:r w:rsidRPr="00E16C79">
        <w:rPr>
          <w:sz w:val="28"/>
          <w:szCs w:val="28"/>
        </w:rPr>
        <w:t xml:space="preserve">Prepared by </w:t>
      </w:r>
      <w:r w:rsidR="000B1D76">
        <w:rPr>
          <w:sz w:val="28"/>
          <w:szCs w:val="28"/>
        </w:rPr>
        <w:t>Apex Analytics LLC</w:t>
      </w:r>
      <w:r w:rsidR="003E5FF0">
        <w:rPr>
          <w:sz w:val="28"/>
          <w:szCs w:val="28"/>
        </w:rPr>
        <w:t>, Itron Inc, and DNV</w:t>
      </w:r>
      <w:r w:rsidR="00843DF9">
        <w:rPr>
          <w:sz w:val="28"/>
          <w:szCs w:val="28"/>
        </w:rPr>
        <w:t>-</w:t>
      </w:r>
      <w:r w:rsidR="003E5FF0">
        <w:rPr>
          <w:sz w:val="28"/>
          <w:szCs w:val="28"/>
        </w:rPr>
        <w:t>GL</w:t>
      </w:r>
    </w:p>
    <w:p w14:paraId="0933C510" w14:textId="3E8239FC" w:rsidR="005C728E" w:rsidRPr="00E16C79" w:rsidRDefault="003E5FF0" w:rsidP="009526A2">
      <w:pPr>
        <w:rPr>
          <w:sz w:val="16"/>
          <w:szCs w:val="16"/>
        </w:rPr>
      </w:pPr>
      <w:r>
        <w:rPr>
          <w:sz w:val="28"/>
          <w:szCs w:val="28"/>
        </w:rPr>
        <w:t>Ju</w:t>
      </w:r>
      <w:r w:rsidR="0094487D">
        <w:rPr>
          <w:sz w:val="28"/>
          <w:szCs w:val="28"/>
        </w:rPr>
        <w:t>ly 1</w:t>
      </w:r>
      <w:r w:rsidR="00C01813">
        <w:rPr>
          <w:sz w:val="28"/>
          <w:szCs w:val="28"/>
        </w:rPr>
        <w:t>5</w:t>
      </w:r>
      <w:r>
        <w:rPr>
          <w:sz w:val="28"/>
          <w:szCs w:val="28"/>
        </w:rPr>
        <w:t>, 2016</w:t>
      </w:r>
    </w:p>
    <w:p w14:paraId="221BB0BC" w14:textId="77777777" w:rsidR="00140F17" w:rsidRDefault="00140F17"/>
    <w:p w14:paraId="1B57DF6F" w14:textId="77777777" w:rsidR="00000A64" w:rsidRPr="00A01C92" w:rsidRDefault="00000A64" w:rsidP="00B70FC5">
      <w:pPr>
        <w:sectPr w:rsidR="00000A64" w:rsidRPr="00A01C92" w:rsidSect="00E377E5">
          <w:headerReference w:type="default" r:id="rId10"/>
          <w:footerReference w:type="even" r:id="rId11"/>
          <w:footerReference w:type="default" r:id="rId12"/>
          <w:footerReference w:type="first" r:id="rId13"/>
          <w:pgSz w:w="12240" w:h="15840" w:code="1"/>
          <w:pgMar w:top="720" w:right="720" w:bottom="720" w:left="720" w:header="0" w:footer="576" w:gutter="0"/>
          <w:pgNumType w:fmt="lowerRoman" w:start="1"/>
          <w:cols w:space="720"/>
          <w:docGrid w:linePitch="299"/>
        </w:sectPr>
      </w:pPr>
    </w:p>
    <w:p w14:paraId="15237593" w14:textId="77777777" w:rsidR="001A2E30" w:rsidRPr="00A01C92" w:rsidRDefault="001A2E30">
      <w:pPr>
        <w:sectPr w:rsidR="001A2E30" w:rsidRPr="00A01C92" w:rsidSect="001A1256">
          <w:headerReference w:type="default" r:id="rId14"/>
          <w:footerReference w:type="default" r:id="rId15"/>
          <w:pgSz w:w="12240" w:h="15840" w:code="1"/>
          <w:pgMar w:top="1440" w:right="1440" w:bottom="1440" w:left="1440" w:header="720" w:footer="720" w:gutter="0"/>
          <w:pgNumType w:fmt="lowerRoman" w:start="1"/>
          <w:cols w:space="720"/>
        </w:sectPr>
      </w:pPr>
    </w:p>
    <w:p w14:paraId="0C62507D" w14:textId="77777777" w:rsidR="001F0DE9" w:rsidRDefault="000A30B1">
      <w:pPr>
        <w:pStyle w:val="TOC1"/>
        <w:rPr>
          <w:b/>
          <w:sz w:val="36"/>
          <w:szCs w:val="36"/>
        </w:rPr>
      </w:pPr>
      <w:r w:rsidRPr="000A30B1">
        <w:rPr>
          <w:b/>
          <w:color w:val="3F9C35" w:themeColor="accent2"/>
          <w:sz w:val="36"/>
          <w:szCs w:val="36"/>
        </w:rPr>
        <w:lastRenderedPageBreak/>
        <w:t>Table of Contents</w:t>
      </w:r>
    </w:p>
    <w:p w14:paraId="32B674D9" w14:textId="77777777" w:rsidR="000A30B1" w:rsidRPr="000A30B1" w:rsidRDefault="000A30B1" w:rsidP="000A30B1"/>
    <w:p w14:paraId="2E44341E" w14:textId="77777777" w:rsidR="001A12E1" w:rsidRDefault="00275970">
      <w:pPr>
        <w:pStyle w:val="TOC1"/>
        <w:rPr>
          <w:rFonts w:asciiTheme="minorHAnsi" w:eastAsiaTheme="minorEastAsia" w:hAnsiTheme="minorHAnsi" w:cstheme="minorBidi"/>
        </w:rPr>
      </w:pPr>
      <w:r w:rsidRPr="00E16C79">
        <w:rPr>
          <w:b/>
        </w:rPr>
        <w:fldChar w:fldCharType="begin"/>
      </w:r>
      <w:r w:rsidR="00321CBC" w:rsidRPr="00E16C79">
        <w:rPr>
          <w:b/>
        </w:rPr>
        <w:instrText xml:space="preserve"> TOC \h \z \t "Heading 1,1,Heading 2,2,Heading 3,3,Heading 7,1,Heading 8,2" </w:instrText>
      </w:r>
      <w:r w:rsidRPr="00E16C79">
        <w:rPr>
          <w:b/>
        </w:rPr>
        <w:fldChar w:fldCharType="separate"/>
      </w:r>
      <w:hyperlink w:anchor="_Toc456174329" w:history="1">
        <w:r w:rsidR="001A12E1" w:rsidRPr="00E15DDD">
          <w:rPr>
            <w:rStyle w:val="Hyperlink"/>
            <w:rFonts w:cs="Georgia"/>
            <w14:scene3d>
              <w14:camera w14:prst="orthographicFront"/>
              <w14:lightRig w14:rig="threePt" w14:dir="t">
                <w14:rot w14:lat="0" w14:lon="0" w14:rev="0"/>
              </w14:lightRig>
            </w14:scene3d>
          </w:rPr>
          <w:t>1.</w:t>
        </w:r>
        <w:r w:rsidR="001A12E1">
          <w:rPr>
            <w:rFonts w:asciiTheme="minorHAnsi" w:eastAsiaTheme="minorEastAsia" w:hAnsiTheme="minorHAnsi" w:cstheme="minorBidi"/>
          </w:rPr>
          <w:tab/>
        </w:r>
        <w:r w:rsidR="001A12E1" w:rsidRPr="00E15DDD">
          <w:rPr>
            <w:rStyle w:val="Hyperlink"/>
          </w:rPr>
          <w:t>Introduction</w:t>
        </w:r>
        <w:r w:rsidR="001A12E1">
          <w:rPr>
            <w:webHidden/>
          </w:rPr>
          <w:tab/>
        </w:r>
        <w:r w:rsidR="001A12E1">
          <w:rPr>
            <w:webHidden/>
          </w:rPr>
          <w:fldChar w:fldCharType="begin"/>
        </w:r>
        <w:r w:rsidR="001A12E1">
          <w:rPr>
            <w:webHidden/>
          </w:rPr>
          <w:instrText xml:space="preserve"> PAGEREF _Toc456174329 \h </w:instrText>
        </w:r>
        <w:r w:rsidR="001A12E1">
          <w:rPr>
            <w:webHidden/>
          </w:rPr>
        </w:r>
        <w:r w:rsidR="001A12E1">
          <w:rPr>
            <w:webHidden/>
          </w:rPr>
          <w:fldChar w:fldCharType="separate"/>
        </w:r>
        <w:r w:rsidR="00A53E5B">
          <w:rPr>
            <w:webHidden/>
          </w:rPr>
          <w:t>1</w:t>
        </w:r>
        <w:r w:rsidR="001A12E1">
          <w:rPr>
            <w:webHidden/>
          </w:rPr>
          <w:fldChar w:fldCharType="end"/>
        </w:r>
      </w:hyperlink>
    </w:p>
    <w:p w14:paraId="09903C24" w14:textId="77777777" w:rsidR="001A12E1" w:rsidRDefault="007D3FC6">
      <w:pPr>
        <w:pStyle w:val="TOC2"/>
        <w:rPr>
          <w:rFonts w:asciiTheme="minorHAnsi" w:eastAsiaTheme="minorEastAsia" w:hAnsiTheme="minorHAnsi" w:cstheme="minorBidi"/>
        </w:rPr>
      </w:pPr>
      <w:hyperlink w:anchor="_Toc456174330" w:history="1">
        <w:r w:rsidR="001A12E1" w:rsidRPr="00E15DDD">
          <w:rPr>
            <w:rStyle w:val="Hyperlink"/>
            <w14:scene3d>
              <w14:camera w14:prst="orthographicFront"/>
              <w14:lightRig w14:rig="threePt" w14:dir="t">
                <w14:rot w14:lat="0" w14:lon="0" w14:rev="0"/>
              </w14:lightRig>
            </w14:scene3d>
          </w:rPr>
          <w:t>1.1</w:t>
        </w:r>
        <w:r w:rsidR="001A12E1">
          <w:rPr>
            <w:rFonts w:asciiTheme="minorHAnsi" w:eastAsiaTheme="minorEastAsia" w:hAnsiTheme="minorHAnsi" w:cstheme="minorBidi"/>
          </w:rPr>
          <w:tab/>
        </w:r>
        <w:r w:rsidR="001A12E1" w:rsidRPr="00E15DDD">
          <w:rPr>
            <w:rStyle w:val="Hyperlink"/>
          </w:rPr>
          <w:t>Evaluation Goals and Objectives</w:t>
        </w:r>
        <w:r w:rsidR="001A12E1">
          <w:rPr>
            <w:webHidden/>
          </w:rPr>
          <w:tab/>
        </w:r>
        <w:r w:rsidR="001A12E1">
          <w:rPr>
            <w:webHidden/>
          </w:rPr>
          <w:fldChar w:fldCharType="begin"/>
        </w:r>
        <w:r w:rsidR="001A12E1">
          <w:rPr>
            <w:webHidden/>
          </w:rPr>
          <w:instrText xml:space="preserve"> PAGEREF _Toc456174330 \h </w:instrText>
        </w:r>
        <w:r w:rsidR="001A12E1">
          <w:rPr>
            <w:webHidden/>
          </w:rPr>
        </w:r>
        <w:r w:rsidR="001A12E1">
          <w:rPr>
            <w:webHidden/>
          </w:rPr>
          <w:fldChar w:fldCharType="separate"/>
        </w:r>
        <w:r w:rsidR="00A53E5B">
          <w:rPr>
            <w:webHidden/>
          </w:rPr>
          <w:t>1</w:t>
        </w:r>
        <w:r w:rsidR="001A12E1">
          <w:rPr>
            <w:webHidden/>
          </w:rPr>
          <w:fldChar w:fldCharType="end"/>
        </w:r>
      </w:hyperlink>
    </w:p>
    <w:p w14:paraId="7D5FF15D" w14:textId="77777777" w:rsidR="001A12E1" w:rsidRDefault="007D3FC6">
      <w:pPr>
        <w:pStyle w:val="TOC2"/>
        <w:rPr>
          <w:rFonts w:asciiTheme="minorHAnsi" w:eastAsiaTheme="minorEastAsia" w:hAnsiTheme="minorHAnsi" w:cstheme="minorBidi"/>
        </w:rPr>
      </w:pPr>
      <w:hyperlink w:anchor="_Toc456174331" w:history="1">
        <w:r w:rsidR="001A12E1" w:rsidRPr="00E15DDD">
          <w:rPr>
            <w:rStyle w:val="Hyperlink"/>
            <w14:scene3d>
              <w14:camera w14:prst="orthographicFront"/>
              <w14:lightRig w14:rig="threePt" w14:dir="t">
                <w14:rot w14:lat="0" w14:lon="0" w14:rev="0"/>
              </w14:lightRig>
            </w14:scene3d>
          </w:rPr>
          <w:t>1.2</w:t>
        </w:r>
        <w:r w:rsidR="001A12E1">
          <w:rPr>
            <w:rFonts w:asciiTheme="minorHAnsi" w:eastAsiaTheme="minorEastAsia" w:hAnsiTheme="minorHAnsi" w:cstheme="minorBidi"/>
          </w:rPr>
          <w:tab/>
        </w:r>
        <w:r w:rsidR="001A12E1" w:rsidRPr="00E15DDD">
          <w:rPr>
            <w:rStyle w:val="Hyperlink"/>
          </w:rPr>
          <w:t>Program Overviews</w:t>
        </w:r>
        <w:r w:rsidR="001A12E1">
          <w:rPr>
            <w:webHidden/>
          </w:rPr>
          <w:tab/>
        </w:r>
        <w:r w:rsidR="001A12E1">
          <w:rPr>
            <w:webHidden/>
          </w:rPr>
          <w:fldChar w:fldCharType="begin"/>
        </w:r>
        <w:r w:rsidR="001A12E1">
          <w:rPr>
            <w:webHidden/>
          </w:rPr>
          <w:instrText xml:space="preserve"> PAGEREF _Toc456174331 \h </w:instrText>
        </w:r>
        <w:r w:rsidR="001A12E1">
          <w:rPr>
            <w:webHidden/>
          </w:rPr>
        </w:r>
        <w:r w:rsidR="001A12E1">
          <w:rPr>
            <w:webHidden/>
          </w:rPr>
          <w:fldChar w:fldCharType="separate"/>
        </w:r>
        <w:r w:rsidR="00A53E5B">
          <w:rPr>
            <w:webHidden/>
          </w:rPr>
          <w:t>1</w:t>
        </w:r>
        <w:r w:rsidR="001A12E1">
          <w:rPr>
            <w:webHidden/>
          </w:rPr>
          <w:fldChar w:fldCharType="end"/>
        </w:r>
      </w:hyperlink>
    </w:p>
    <w:p w14:paraId="64BB7724" w14:textId="0BFFAFF8" w:rsidR="001A12E1" w:rsidRDefault="007D3FC6">
      <w:pPr>
        <w:pStyle w:val="TOC1"/>
        <w:rPr>
          <w:rFonts w:asciiTheme="minorHAnsi" w:eastAsiaTheme="minorEastAsia" w:hAnsiTheme="minorHAnsi" w:cstheme="minorBidi"/>
        </w:rPr>
      </w:pPr>
      <w:hyperlink w:anchor="_Toc456174332" w:history="1">
        <w:r w:rsidR="001A12E1" w:rsidRPr="00E15DDD">
          <w:rPr>
            <w:rStyle w:val="Hyperlink"/>
            <w:rFonts w:cs="Georgia"/>
            <w14:scene3d>
              <w14:camera w14:prst="orthographicFront"/>
              <w14:lightRig w14:rig="threePt" w14:dir="t">
                <w14:rot w14:lat="0" w14:lon="0" w14:rev="0"/>
              </w14:lightRig>
            </w14:scene3d>
          </w:rPr>
          <w:t>2.</w:t>
        </w:r>
        <w:r w:rsidR="001A12E1">
          <w:rPr>
            <w:rFonts w:asciiTheme="minorHAnsi" w:eastAsiaTheme="minorEastAsia" w:hAnsiTheme="minorHAnsi" w:cstheme="minorBidi"/>
          </w:rPr>
          <w:tab/>
        </w:r>
        <w:r w:rsidR="001A12E1" w:rsidRPr="00E15DDD">
          <w:rPr>
            <w:rStyle w:val="Hyperlink"/>
          </w:rPr>
          <w:t>Evaluation Approach</w:t>
        </w:r>
        <w:r w:rsidR="001A12E1">
          <w:rPr>
            <w:webHidden/>
          </w:rPr>
          <w:tab/>
        </w:r>
        <w:r w:rsidR="001A12E1">
          <w:rPr>
            <w:webHidden/>
          </w:rPr>
          <w:fldChar w:fldCharType="begin"/>
        </w:r>
        <w:r w:rsidR="001A12E1">
          <w:rPr>
            <w:webHidden/>
          </w:rPr>
          <w:instrText xml:space="preserve"> PAGEREF _Toc456174332 \h </w:instrText>
        </w:r>
        <w:r w:rsidR="001A12E1">
          <w:rPr>
            <w:webHidden/>
          </w:rPr>
        </w:r>
        <w:r w:rsidR="001A12E1">
          <w:rPr>
            <w:webHidden/>
          </w:rPr>
          <w:fldChar w:fldCharType="separate"/>
        </w:r>
        <w:r w:rsidR="00A53E5B">
          <w:rPr>
            <w:webHidden/>
          </w:rPr>
          <w:t>4</w:t>
        </w:r>
        <w:r w:rsidR="001A12E1">
          <w:rPr>
            <w:webHidden/>
          </w:rPr>
          <w:fldChar w:fldCharType="end"/>
        </w:r>
      </w:hyperlink>
    </w:p>
    <w:p w14:paraId="06D691C0" w14:textId="2D792F0A" w:rsidR="001A12E1" w:rsidRDefault="007D3FC6">
      <w:pPr>
        <w:pStyle w:val="TOC2"/>
        <w:rPr>
          <w:rFonts w:asciiTheme="minorHAnsi" w:eastAsiaTheme="minorEastAsia" w:hAnsiTheme="minorHAnsi" w:cstheme="minorBidi"/>
        </w:rPr>
      </w:pPr>
      <w:hyperlink w:anchor="_Toc456174333" w:history="1">
        <w:r w:rsidR="001A12E1" w:rsidRPr="00E15DDD">
          <w:rPr>
            <w:rStyle w:val="Hyperlink"/>
            <w14:scene3d>
              <w14:camera w14:prst="orthographicFront"/>
              <w14:lightRig w14:rig="threePt" w14:dir="t">
                <w14:rot w14:lat="0" w14:lon="0" w14:rev="0"/>
              </w14:lightRig>
            </w14:scene3d>
          </w:rPr>
          <w:t>2.1</w:t>
        </w:r>
        <w:r w:rsidR="001A12E1">
          <w:rPr>
            <w:rFonts w:asciiTheme="minorHAnsi" w:eastAsiaTheme="minorEastAsia" w:hAnsiTheme="minorHAnsi" w:cstheme="minorBidi"/>
          </w:rPr>
          <w:tab/>
        </w:r>
        <w:r w:rsidR="001A12E1" w:rsidRPr="00E15DDD">
          <w:rPr>
            <w:rStyle w:val="Hyperlink"/>
          </w:rPr>
          <w:t>Gross Savings</w:t>
        </w:r>
        <w:r w:rsidR="001A12E1">
          <w:rPr>
            <w:webHidden/>
          </w:rPr>
          <w:tab/>
        </w:r>
        <w:r w:rsidR="001A12E1">
          <w:rPr>
            <w:webHidden/>
          </w:rPr>
          <w:fldChar w:fldCharType="begin"/>
        </w:r>
        <w:r w:rsidR="001A12E1">
          <w:rPr>
            <w:webHidden/>
          </w:rPr>
          <w:instrText xml:space="preserve"> PAGEREF _Toc456174333 \h </w:instrText>
        </w:r>
        <w:r w:rsidR="001A12E1">
          <w:rPr>
            <w:webHidden/>
          </w:rPr>
        </w:r>
        <w:r w:rsidR="001A12E1">
          <w:rPr>
            <w:webHidden/>
          </w:rPr>
          <w:fldChar w:fldCharType="separate"/>
        </w:r>
        <w:r w:rsidR="00A53E5B">
          <w:rPr>
            <w:webHidden/>
          </w:rPr>
          <w:t>5</w:t>
        </w:r>
        <w:r w:rsidR="001A12E1">
          <w:rPr>
            <w:webHidden/>
          </w:rPr>
          <w:fldChar w:fldCharType="end"/>
        </w:r>
      </w:hyperlink>
    </w:p>
    <w:p w14:paraId="70A214EA" w14:textId="1D0E534C" w:rsidR="001A12E1" w:rsidRDefault="007D3FC6">
      <w:pPr>
        <w:pStyle w:val="TOC3"/>
        <w:rPr>
          <w:rFonts w:asciiTheme="minorHAnsi" w:eastAsiaTheme="minorEastAsia" w:hAnsiTheme="minorHAnsi" w:cstheme="minorBidi"/>
        </w:rPr>
      </w:pPr>
      <w:hyperlink w:anchor="_Toc456174334" w:history="1">
        <w:r w:rsidR="001A12E1" w:rsidRPr="00E15DDD">
          <w:rPr>
            <w:rStyle w:val="Hyperlink"/>
            <w:rFonts w:cs="Georgia"/>
          </w:rPr>
          <w:t>2.1.1</w:t>
        </w:r>
        <w:r w:rsidR="001A12E1">
          <w:rPr>
            <w:rFonts w:asciiTheme="minorHAnsi" w:eastAsiaTheme="minorEastAsia" w:hAnsiTheme="minorHAnsi" w:cstheme="minorBidi"/>
          </w:rPr>
          <w:tab/>
        </w:r>
        <w:r w:rsidR="001A12E1" w:rsidRPr="00E15DDD">
          <w:rPr>
            <w:rStyle w:val="Hyperlink"/>
          </w:rPr>
          <w:t>Multifamily Program</w:t>
        </w:r>
        <w:r w:rsidR="001A12E1">
          <w:rPr>
            <w:webHidden/>
          </w:rPr>
          <w:tab/>
        </w:r>
        <w:r w:rsidR="001A12E1">
          <w:rPr>
            <w:webHidden/>
          </w:rPr>
          <w:fldChar w:fldCharType="begin"/>
        </w:r>
        <w:r w:rsidR="001A12E1">
          <w:rPr>
            <w:webHidden/>
          </w:rPr>
          <w:instrText xml:space="preserve"> PAGEREF _Toc456174334 \h </w:instrText>
        </w:r>
        <w:r w:rsidR="001A12E1">
          <w:rPr>
            <w:webHidden/>
          </w:rPr>
        </w:r>
        <w:r w:rsidR="001A12E1">
          <w:rPr>
            <w:webHidden/>
          </w:rPr>
          <w:fldChar w:fldCharType="separate"/>
        </w:r>
        <w:r w:rsidR="00A53E5B">
          <w:rPr>
            <w:webHidden/>
          </w:rPr>
          <w:t>5</w:t>
        </w:r>
        <w:r w:rsidR="001A12E1">
          <w:rPr>
            <w:webHidden/>
          </w:rPr>
          <w:fldChar w:fldCharType="end"/>
        </w:r>
      </w:hyperlink>
    </w:p>
    <w:p w14:paraId="15094E9F" w14:textId="499E5B15" w:rsidR="001A12E1" w:rsidRDefault="007D3FC6">
      <w:pPr>
        <w:pStyle w:val="TOC3"/>
        <w:rPr>
          <w:rFonts w:asciiTheme="minorHAnsi" w:eastAsiaTheme="minorEastAsia" w:hAnsiTheme="minorHAnsi" w:cstheme="minorBidi"/>
        </w:rPr>
      </w:pPr>
      <w:hyperlink w:anchor="_Toc456174335" w:history="1">
        <w:r w:rsidR="001A12E1" w:rsidRPr="00E15DDD">
          <w:rPr>
            <w:rStyle w:val="Hyperlink"/>
            <w:rFonts w:cs="Georgia"/>
          </w:rPr>
          <w:t>2.1.2</w:t>
        </w:r>
        <w:r w:rsidR="001A12E1">
          <w:rPr>
            <w:rFonts w:asciiTheme="minorHAnsi" w:eastAsiaTheme="minorEastAsia" w:hAnsiTheme="minorHAnsi" w:cstheme="minorBidi"/>
          </w:rPr>
          <w:tab/>
        </w:r>
        <w:r w:rsidR="001A12E1" w:rsidRPr="00E15DDD">
          <w:rPr>
            <w:rStyle w:val="Hyperlink"/>
          </w:rPr>
          <w:t>Single Family</w:t>
        </w:r>
        <w:r w:rsidR="001A12E1">
          <w:rPr>
            <w:webHidden/>
          </w:rPr>
          <w:tab/>
        </w:r>
        <w:r w:rsidR="001A12E1">
          <w:rPr>
            <w:webHidden/>
          </w:rPr>
          <w:fldChar w:fldCharType="begin"/>
        </w:r>
        <w:r w:rsidR="001A12E1">
          <w:rPr>
            <w:webHidden/>
          </w:rPr>
          <w:instrText xml:space="preserve"> PAGEREF _Toc456174335 \h </w:instrText>
        </w:r>
        <w:r w:rsidR="001A12E1">
          <w:rPr>
            <w:webHidden/>
          </w:rPr>
        </w:r>
        <w:r w:rsidR="001A12E1">
          <w:rPr>
            <w:webHidden/>
          </w:rPr>
          <w:fldChar w:fldCharType="separate"/>
        </w:r>
        <w:r w:rsidR="00A53E5B">
          <w:rPr>
            <w:webHidden/>
          </w:rPr>
          <w:t>8</w:t>
        </w:r>
        <w:r w:rsidR="001A12E1">
          <w:rPr>
            <w:webHidden/>
          </w:rPr>
          <w:fldChar w:fldCharType="end"/>
        </w:r>
      </w:hyperlink>
    </w:p>
    <w:p w14:paraId="2119D5BF" w14:textId="5B19119D" w:rsidR="001A12E1" w:rsidRDefault="007D3FC6">
      <w:pPr>
        <w:pStyle w:val="TOC2"/>
        <w:rPr>
          <w:rFonts w:asciiTheme="minorHAnsi" w:eastAsiaTheme="minorEastAsia" w:hAnsiTheme="minorHAnsi" w:cstheme="minorBidi"/>
        </w:rPr>
      </w:pPr>
      <w:hyperlink w:anchor="_Toc456174336" w:history="1">
        <w:r w:rsidR="001A12E1" w:rsidRPr="00E15DDD">
          <w:rPr>
            <w:rStyle w:val="Hyperlink"/>
            <w14:scene3d>
              <w14:camera w14:prst="orthographicFront"/>
              <w14:lightRig w14:rig="threePt" w14:dir="t">
                <w14:rot w14:lat="0" w14:lon="0" w14:rev="0"/>
              </w14:lightRig>
            </w14:scene3d>
          </w:rPr>
          <w:t>2.2</w:t>
        </w:r>
        <w:r w:rsidR="001A12E1">
          <w:rPr>
            <w:rFonts w:asciiTheme="minorHAnsi" w:eastAsiaTheme="minorEastAsia" w:hAnsiTheme="minorHAnsi" w:cstheme="minorBidi"/>
          </w:rPr>
          <w:tab/>
        </w:r>
        <w:r w:rsidR="001A12E1" w:rsidRPr="00E15DDD">
          <w:rPr>
            <w:rStyle w:val="Hyperlink"/>
          </w:rPr>
          <w:t>Net Savings</w:t>
        </w:r>
        <w:r w:rsidR="001A12E1">
          <w:rPr>
            <w:webHidden/>
          </w:rPr>
          <w:tab/>
        </w:r>
        <w:r w:rsidR="001A12E1">
          <w:rPr>
            <w:webHidden/>
          </w:rPr>
          <w:fldChar w:fldCharType="begin"/>
        </w:r>
        <w:r w:rsidR="001A12E1">
          <w:rPr>
            <w:webHidden/>
          </w:rPr>
          <w:instrText xml:space="preserve"> PAGEREF _Toc456174336 \h </w:instrText>
        </w:r>
        <w:r w:rsidR="001A12E1">
          <w:rPr>
            <w:webHidden/>
          </w:rPr>
        </w:r>
        <w:r w:rsidR="001A12E1">
          <w:rPr>
            <w:webHidden/>
          </w:rPr>
          <w:fldChar w:fldCharType="separate"/>
        </w:r>
        <w:r w:rsidR="00A53E5B">
          <w:rPr>
            <w:webHidden/>
          </w:rPr>
          <w:t>10</w:t>
        </w:r>
        <w:r w:rsidR="001A12E1">
          <w:rPr>
            <w:webHidden/>
          </w:rPr>
          <w:fldChar w:fldCharType="end"/>
        </w:r>
      </w:hyperlink>
    </w:p>
    <w:p w14:paraId="7729CBC3" w14:textId="6BC59DD5" w:rsidR="001A12E1" w:rsidRDefault="007D3FC6">
      <w:pPr>
        <w:pStyle w:val="TOC1"/>
        <w:rPr>
          <w:rFonts w:asciiTheme="minorHAnsi" w:eastAsiaTheme="minorEastAsia" w:hAnsiTheme="minorHAnsi" w:cstheme="minorBidi"/>
        </w:rPr>
      </w:pPr>
      <w:hyperlink w:anchor="_Toc456174337" w:history="1">
        <w:r w:rsidR="001A12E1" w:rsidRPr="00E15DDD">
          <w:rPr>
            <w:rStyle w:val="Hyperlink"/>
            <w:rFonts w:cs="Georgia"/>
            <w14:scene3d>
              <w14:camera w14:prst="orthographicFront"/>
              <w14:lightRig w14:rig="threePt" w14:dir="t">
                <w14:rot w14:lat="0" w14:lon="0" w14:rev="0"/>
              </w14:lightRig>
            </w14:scene3d>
          </w:rPr>
          <w:t>3.</w:t>
        </w:r>
        <w:r w:rsidR="001A12E1">
          <w:rPr>
            <w:rFonts w:asciiTheme="minorHAnsi" w:eastAsiaTheme="minorEastAsia" w:hAnsiTheme="minorHAnsi" w:cstheme="minorBidi"/>
          </w:rPr>
          <w:tab/>
        </w:r>
        <w:r w:rsidR="001A12E1" w:rsidRPr="00E15DDD">
          <w:rPr>
            <w:rStyle w:val="Hyperlink"/>
          </w:rPr>
          <w:t>Data Sources</w:t>
        </w:r>
        <w:r w:rsidR="001A12E1">
          <w:rPr>
            <w:webHidden/>
          </w:rPr>
          <w:tab/>
        </w:r>
        <w:r w:rsidR="001A12E1">
          <w:rPr>
            <w:webHidden/>
          </w:rPr>
          <w:fldChar w:fldCharType="begin"/>
        </w:r>
        <w:r w:rsidR="001A12E1">
          <w:rPr>
            <w:webHidden/>
          </w:rPr>
          <w:instrText xml:space="preserve"> PAGEREF _Toc456174337 \h </w:instrText>
        </w:r>
        <w:r w:rsidR="001A12E1">
          <w:rPr>
            <w:webHidden/>
          </w:rPr>
        </w:r>
        <w:r w:rsidR="001A12E1">
          <w:rPr>
            <w:webHidden/>
          </w:rPr>
          <w:fldChar w:fldCharType="separate"/>
        </w:r>
        <w:r w:rsidR="00A53E5B">
          <w:rPr>
            <w:webHidden/>
          </w:rPr>
          <w:t>11</w:t>
        </w:r>
        <w:r w:rsidR="001A12E1">
          <w:rPr>
            <w:webHidden/>
          </w:rPr>
          <w:fldChar w:fldCharType="end"/>
        </w:r>
      </w:hyperlink>
    </w:p>
    <w:p w14:paraId="197AEDB4" w14:textId="1744E081" w:rsidR="001A12E1" w:rsidRDefault="007D3FC6">
      <w:pPr>
        <w:pStyle w:val="TOC1"/>
        <w:rPr>
          <w:rFonts w:asciiTheme="minorHAnsi" w:eastAsiaTheme="minorEastAsia" w:hAnsiTheme="minorHAnsi" w:cstheme="minorBidi"/>
        </w:rPr>
      </w:pPr>
      <w:hyperlink w:anchor="_Toc456174338" w:history="1">
        <w:r w:rsidR="001A12E1" w:rsidRPr="00E15DDD">
          <w:rPr>
            <w:rStyle w:val="Hyperlink"/>
            <w:rFonts w:cs="Georgia"/>
            <w14:scene3d>
              <w14:camera w14:prst="orthographicFront"/>
              <w14:lightRig w14:rig="threePt" w14:dir="t">
                <w14:rot w14:lat="0" w14:lon="0" w14:rev="0"/>
              </w14:lightRig>
            </w14:scene3d>
          </w:rPr>
          <w:t>4.</w:t>
        </w:r>
        <w:r w:rsidR="001A12E1">
          <w:rPr>
            <w:rFonts w:asciiTheme="minorHAnsi" w:eastAsiaTheme="minorEastAsia" w:hAnsiTheme="minorHAnsi" w:cstheme="minorBidi"/>
          </w:rPr>
          <w:tab/>
        </w:r>
        <w:r w:rsidR="001A12E1" w:rsidRPr="00E15DDD">
          <w:rPr>
            <w:rStyle w:val="Hyperlink"/>
          </w:rPr>
          <w:t>Work Plan, Budget, and Schedule</w:t>
        </w:r>
        <w:r w:rsidR="001A12E1">
          <w:rPr>
            <w:webHidden/>
          </w:rPr>
          <w:tab/>
        </w:r>
        <w:r w:rsidR="001A12E1">
          <w:rPr>
            <w:webHidden/>
          </w:rPr>
          <w:fldChar w:fldCharType="begin"/>
        </w:r>
        <w:r w:rsidR="001A12E1">
          <w:rPr>
            <w:webHidden/>
          </w:rPr>
          <w:instrText xml:space="preserve"> PAGEREF _Toc456174338 \h </w:instrText>
        </w:r>
        <w:r w:rsidR="001A12E1">
          <w:rPr>
            <w:webHidden/>
          </w:rPr>
        </w:r>
        <w:r w:rsidR="001A12E1">
          <w:rPr>
            <w:webHidden/>
          </w:rPr>
          <w:fldChar w:fldCharType="separate"/>
        </w:r>
        <w:r w:rsidR="00A53E5B">
          <w:rPr>
            <w:webHidden/>
          </w:rPr>
          <w:t>12</w:t>
        </w:r>
        <w:r w:rsidR="001A12E1">
          <w:rPr>
            <w:webHidden/>
          </w:rPr>
          <w:fldChar w:fldCharType="end"/>
        </w:r>
      </w:hyperlink>
    </w:p>
    <w:p w14:paraId="1BFDE198" w14:textId="48656C89" w:rsidR="001A12E1" w:rsidRDefault="007D3FC6">
      <w:pPr>
        <w:pStyle w:val="TOC2"/>
        <w:rPr>
          <w:rFonts w:asciiTheme="minorHAnsi" w:eastAsiaTheme="minorEastAsia" w:hAnsiTheme="minorHAnsi" w:cstheme="minorBidi"/>
        </w:rPr>
      </w:pPr>
      <w:hyperlink w:anchor="_Toc456174339" w:history="1">
        <w:r w:rsidR="001A12E1" w:rsidRPr="00E15DDD">
          <w:rPr>
            <w:rStyle w:val="Hyperlink"/>
            <w14:scene3d>
              <w14:camera w14:prst="orthographicFront"/>
              <w14:lightRig w14:rig="threePt" w14:dir="t">
                <w14:rot w14:lat="0" w14:lon="0" w14:rev="0"/>
              </w14:lightRig>
            </w14:scene3d>
          </w:rPr>
          <w:t>4.1</w:t>
        </w:r>
        <w:r w:rsidR="001A12E1">
          <w:rPr>
            <w:rFonts w:asciiTheme="minorHAnsi" w:eastAsiaTheme="minorEastAsia" w:hAnsiTheme="minorHAnsi" w:cstheme="minorBidi"/>
          </w:rPr>
          <w:tab/>
        </w:r>
        <w:r w:rsidR="001A12E1" w:rsidRPr="00E15DDD">
          <w:rPr>
            <w:rStyle w:val="Hyperlink"/>
          </w:rPr>
          <w:t>Work Plan</w:t>
        </w:r>
        <w:r w:rsidR="001A12E1">
          <w:rPr>
            <w:webHidden/>
          </w:rPr>
          <w:tab/>
        </w:r>
        <w:r w:rsidR="001A12E1">
          <w:rPr>
            <w:webHidden/>
          </w:rPr>
          <w:fldChar w:fldCharType="begin"/>
        </w:r>
        <w:r w:rsidR="001A12E1">
          <w:rPr>
            <w:webHidden/>
          </w:rPr>
          <w:instrText xml:space="preserve"> PAGEREF _Toc456174339 \h </w:instrText>
        </w:r>
        <w:r w:rsidR="001A12E1">
          <w:rPr>
            <w:webHidden/>
          </w:rPr>
        </w:r>
        <w:r w:rsidR="001A12E1">
          <w:rPr>
            <w:webHidden/>
          </w:rPr>
          <w:fldChar w:fldCharType="separate"/>
        </w:r>
        <w:r w:rsidR="00A53E5B">
          <w:rPr>
            <w:webHidden/>
          </w:rPr>
          <w:t>12</w:t>
        </w:r>
        <w:r w:rsidR="001A12E1">
          <w:rPr>
            <w:webHidden/>
          </w:rPr>
          <w:fldChar w:fldCharType="end"/>
        </w:r>
      </w:hyperlink>
    </w:p>
    <w:p w14:paraId="75C43777" w14:textId="76019C08" w:rsidR="001A12E1" w:rsidRDefault="007D3FC6">
      <w:pPr>
        <w:pStyle w:val="TOC2"/>
        <w:rPr>
          <w:rFonts w:asciiTheme="minorHAnsi" w:eastAsiaTheme="minorEastAsia" w:hAnsiTheme="minorHAnsi" w:cstheme="minorBidi"/>
        </w:rPr>
      </w:pPr>
      <w:hyperlink w:anchor="_Toc456174340" w:history="1">
        <w:r w:rsidR="001A12E1" w:rsidRPr="00E15DDD">
          <w:rPr>
            <w:rStyle w:val="Hyperlink"/>
            <w14:scene3d>
              <w14:camera w14:prst="orthographicFront"/>
              <w14:lightRig w14:rig="threePt" w14:dir="t">
                <w14:rot w14:lat="0" w14:lon="0" w14:rev="0"/>
              </w14:lightRig>
            </w14:scene3d>
          </w:rPr>
          <w:t>4.2</w:t>
        </w:r>
        <w:r w:rsidR="001A12E1">
          <w:rPr>
            <w:rFonts w:asciiTheme="minorHAnsi" w:eastAsiaTheme="minorEastAsia" w:hAnsiTheme="minorHAnsi" w:cstheme="minorBidi"/>
          </w:rPr>
          <w:tab/>
        </w:r>
        <w:r w:rsidR="001A12E1" w:rsidRPr="00E15DDD">
          <w:rPr>
            <w:rStyle w:val="Hyperlink"/>
          </w:rPr>
          <w:t>Budget</w:t>
        </w:r>
        <w:r w:rsidR="001A12E1">
          <w:rPr>
            <w:webHidden/>
          </w:rPr>
          <w:tab/>
        </w:r>
        <w:r w:rsidR="001A12E1">
          <w:rPr>
            <w:webHidden/>
          </w:rPr>
          <w:fldChar w:fldCharType="begin"/>
        </w:r>
        <w:r w:rsidR="001A12E1">
          <w:rPr>
            <w:webHidden/>
          </w:rPr>
          <w:instrText xml:space="preserve"> PAGEREF _Toc456174340 \h </w:instrText>
        </w:r>
        <w:r w:rsidR="001A12E1">
          <w:rPr>
            <w:webHidden/>
          </w:rPr>
        </w:r>
        <w:r w:rsidR="001A12E1">
          <w:rPr>
            <w:webHidden/>
          </w:rPr>
          <w:fldChar w:fldCharType="separate"/>
        </w:r>
        <w:r w:rsidR="00A53E5B">
          <w:rPr>
            <w:webHidden/>
          </w:rPr>
          <w:t>16</w:t>
        </w:r>
        <w:r w:rsidR="001A12E1">
          <w:rPr>
            <w:webHidden/>
          </w:rPr>
          <w:fldChar w:fldCharType="end"/>
        </w:r>
      </w:hyperlink>
    </w:p>
    <w:p w14:paraId="0390D9BA" w14:textId="36CBDE0F" w:rsidR="001A12E1" w:rsidRDefault="007D3FC6">
      <w:pPr>
        <w:pStyle w:val="TOC2"/>
        <w:rPr>
          <w:rFonts w:asciiTheme="minorHAnsi" w:eastAsiaTheme="minorEastAsia" w:hAnsiTheme="minorHAnsi" w:cstheme="minorBidi"/>
        </w:rPr>
      </w:pPr>
      <w:hyperlink w:anchor="_Toc456174341" w:history="1">
        <w:r w:rsidR="001A12E1" w:rsidRPr="00E15DDD">
          <w:rPr>
            <w:rStyle w:val="Hyperlink"/>
            <w14:scene3d>
              <w14:camera w14:prst="orthographicFront"/>
              <w14:lightRig w14:rig="threePt" w14:dir="t">
                <w14:rot w14:lat="0" w14:lon="0" w14:rev="0"/>
              </w14:lightRig>
            </w14:scene3d>
          </w:rPr>
          <w:t>4.3</w:t>
        </w:r>
        <w:r w:rsidR="001A12E1">
          <w:rPr>
            <w:rFonts w:asciiTheme="minorHAnsi" w:eastAsiaTheme="minorEastAsia" w:hAnsiTheme="minorHAnsi" w:cstheme="minorBidi"/>
          </w:rPr>
          <w:tab/>
        </w:r>
        <w:r w:rsidR="001A12E1" w:rsidRPr="00E15DDD">
          <w:rPr>
            <w:rStyle w:val="Hyperlink"/>
          </w:rPr>
          <w:t>Timeline</w:t>
        </w:r>
        <w:r w:rsidR="001A12E1">
          <w:rPr>
            <w:webHidden/>
          </w:rPr>
          <w:tab/>
        </w:r>
        <w:r w:rsidR="001A12E1">
          <w:rPr>
            <w:webHidden/>
          </w:rPr>
          <w:fldChar w:fldCharType="begin"/>
        </w:r>
        <w:r w:rsidR="001A12E1">
          <w:rPr>
            <w:webHidden/>
          </w:rPr>
          <w:instrText xml:space="preserve"> PAGEREF _Toc456174341 \h </w:instrText>
        </w:r>
        <w:r w:rsidR="001A12E1">
          <w:rPr>
            <w:webHidden/>
          </w:rPr>
        </w:r>
        <w:r w:rsidR="001A12E1">
          <w:rPr>
            <w:webHidden/>
          </w:rPr>
          <w:fldChar w:fldCharType="separate"/>
        </w:r>
        <w:r w:rsidR="00A53E5B">
          <w:rPr>
            <w:webHidden/>
          </w:rPr>
          <w:t>17</w:t>
        </w:r>
        <w:r w:rsidR="001A12E1">
          <w:rPr>
            <w:webHidden/>
          </w:rPr>
          <w:fldChar w:fldCharType="end"/>
        </w:r>
      </w:hyperlink>
    </w:p>
    <w:p w14:paraId="66FD7408" w14:textId="4612C8BB" w:rsidR="001A12E1" w:rsidRDefault="007D3FC6">
      <w:pPr>
        <w:pStyle w:val="TOC2"/>
        <w:rPr>
          <w:rFonts w:asciiTheme="minorHAnsi" w:eastAsiaTheme="minorEastAsia" w:hAnsiTheme="minorHAnsi" w:cstheme="minorBidi"/>
        </w:rPr>
      </w:pPr>
      <w:hyperlink w:anchor="_Toc456174342" w:history="1">
        <w:r w:rsidR="001A12E1" w:rsidRPr="00E15DDD">
          <w:rPr>
            <w:rStyle w:val="Hyperlink"/>
            <w:w w:val="95"/>
            <w14:scene3d>
              <w14:camera w14:prst="orthographicFront"/>
              <w14:lightRig w14:rig="threePt" w14:dir="t">
                <w14:rot w14:lat="0" w14:lon="0" w14:rev="0"/>
              </w14:lightRig>
            </w14:scene3d>
          </w:rPr>
          <w:t>4.5</w:t>
        </w:r>
        <w:r w:rsidR="001A12E1">
          <w:rPr>
            <w:rFonts w:asciiTheme="minorHAnsi" w:eastAsiaTheme="minorEastAsia" w:hAnsiTheme="minorHAnsi" w:cstheme="minorBidi"/>
          </w:rPr>
          <w:tab/>
        </w:r>
        <w:r w:rsidR="001A12E1" w:rsidRPr="00E15DDD">
          <w:rPr>
            <w:rStyle w:val="Hyperlink"/>
            <w:w w:val="95"/>
          </w:rPr>
          <w:t>Team Contacts</w:t>
        </w:r>
        <w:r w:rsidR="001A12E1">
          <w:rPr>
            <w:webHidden/>
          </w:rPr>
          <w:tab/>
        </w:r>
        <w:r w:rsidR="001A12E1">
          <w:rPr>
            <w:webHidden/>
          </w:rPr>
          <w:fldChar w:fldCharType="begin"/>
        </w:r>
        <w:r w:rsidR="001A12E1">
          <w:rPr>
            <w:webHidden/>
          </w:rPr>
          <w:instrText xml:space="preserve"> PAGEREF _Toc456174342 \h </w:instrText>
        </w:r>
        <w:r w:rsidR="001A12E1">
          <w:rPr>
            <w:webHidden/>
          </w:rPr>
        </w:r>
        <w:r w:rsidR="001A12E1">
          <w:rPr>
            <w:webHidden/>
          </w:rPr>
          <w:fldChar w:fldCharType="separate"/>
        </w:r>
        <w:r w:rsidR="00A53E5B">
          <w:rPr>
            <w:webHidden/>
          </w:rPr>
          <w:t>18</w:t>
        </w:r>
        <w:r w:rsidR="001A12E1">
          <w:rPr>
            <w:webHidden/>
          </w:rPr>
          <w:fldChar w:fldCharType="end"/>
        </w:r>
      </w:hyperlink>
    </w:p>
    <w:p w14:paraId="32855598" w14:textId="77777777" w:rsidR="00665F5F" w:rsidRPr="00A01C92" w:rsidRDefault="00275970" w:rsidP="00C46F62">
      <w:pPr>
        <w:pStyle w:val="ExhLst"/>
        <w:tabs>
          <w:tab w:val="right" w:leader="dot" w:pos="9360"/>
        </w:tabs>
      </w:pPr>
      <w:r w:rsidRPr="00E16C79">
        <w:rPr>
          <w:rFonts w:cs="Arial"/>
          <w:b w:val="0"/>
          <w:noProof/>
          <w:color w:val="auto"/>
          <w:sz w:val="22"/>
        </w:rPr>
        <w:fldChar w:fldCharType="end"/>
      </w:r>
    </w:p>
    <w:p w14:paraId="4031855B" w14:textId="77777777" w:rsidR="00E358E7" w:rsidRPr="00A01C92" w:rsidRDefault="00E358E7" w:rsidP="006B3964">
      <w:pPr>
        <w:pStyle w:val="ParaText"/>
      </w:pPr>
    </w:p>
    <w:p w14:paraId="46D5C56E" w14:textId="77777777" w:rsidR="00E358E7" w:rsidRPr="00A01C92" w:rsidRDefault="00E358E7" w:rsidP="006B3964">
      <w:pPr>
        <w:pStyle w:val="ParaText"/>
      </w:pPr>
      <w:bookmarkStart w:id="1" w:name="OLE_LINK7"/>
      <w:bookmarkStart w:id="2" w:name="OLE_LINK8"/>
    </w:p>
    <w:p w14:paraId="1203F0D8" w14:textId="77777777" w:rsidR="00E358E7" w:rsidRPr="00A01C92" w:rsidRDefault="00E358E7" w:rsidP="006B3964">
      <w:pPr>
        <w:pStyle w:val="ParaText"/>
      </w:pPr>
    </w:p>
    <w:bookmarkEnd w:id="1"/>
    <w:bookmarkEnd w:id="2"/>
    <w:p w14:paraId="3C3B46D1" w14:textId="77777777" w:rsidR="001A2E30" w:rsidRPr="00A01C92" w:rsidRDefault="001A2E30">
      <w:pPr>
        <w:sectPr w:rsidR="001A2E30" w:rsidRPr="00A01C92" w:rsidSect="007010D0">
          <w:headerReference w:type="default" r:id="rId16"/>
          <w:footerReference w:type="default" r:id="rId17"/>
          <w:pgSz w:w="12240" w:h="15840" w:code="1"/>
          <w:pgMar w:top="1440" w:right="1440" w:bottom="1440" w:left="1440" w:header="576" w:footer="720" w:gutter="0"/>
          <w:pgNumType w:fmt="lowerRoman" w:start="1"/>
          <w:cols w:space="720"/>
          <w:docGrid w:linePitch="299"/>
        </w:sectPr>
      </w:pPr>
    </w:p>
    <w:p w14:paraId="49188A2E" w14:textId="77777777" w:rsidR="00914141" w:rsidRDefault="007010D0" w:rsidP="00BD4FE3">
      <w:pPr>
        <w:pStyle w:val="Heading1"/>
      </w:pPr>
      <w:bookmarkStart w:id="3" w:name="_Toc455072252"/>
      <w:bookmarkStart w:id="4" w:name="_Toc456174329"/>
      <w:r>
        <w:lastRenderedPageBreak/>
        <w:t>Introduction</w:t>
      </w:r>
      <w:bookmarkEnd w:id="3"/>
      <w:bookmarkEnd w:id="4"/>
    </w:p>
    <w:p w14:paraId="4D79E0C6" w14:textId="77777777" w:rsidR="0011031B" w:rsidRDefault="000A30B1" w:rsidP="0011031B">
      <w:pPr>
        <w:pStyle w:val="Heading2"/>
        <w:rPr>
          <w:noProof/>
        </w:rPr>
      </w:pPr>
      <w:bookmarkStart w:id="5" w:name="_Toc455072253"/>
      <w:bookmarkStart w:id="6" w:name="_Toc456174330"/>
      <w:r>
        <w:rPr>
          <w:noProof/>
        </w:rPr>
        <w:t xml:space="preserve">Evaluation </w:t>
      </w:r>
      <w:r w:rsidR="0011031B">
        <w:rPr>
          <w:noProof/>
        </w:rPr>
        <w:t>Goals and Objectives</w:t>
      </w:r>
      <w:bookmarkEnd w:id="5"/>
      <w:bookmarkEnd w:id="6"/>
    </w:p>
    <w:p w14:paraId="57B0F281" w14:textId="418CAE18" w:rsidR="007010D0" w:rsidRDefault="007010D0" w:rsidP="008E413A">
      <w:pPr>
        <w:pStyle w:val="ParaText"/>
        <w:rPr>
          <w:noProof/>
        </w:rPr>
      </w:pPr>
      <w:r>
        <w:rPr>
          <w:noProof/>
        </w:rPr>
        <w:t>This document presents the Research Plan for the</w:t>
      </w:r>
      <w:r w:rsidR="0011031B">
        <w:rPr>
          <w:noProof/>
        </w:rPr>
        <w:t xml:space="preserve"> evaluation</w:t>
      </w:r>
      <w:r>
        <w:rPr>
          <w:noProof/>
        </w:rPr>
        <w:t xml:space="preserve"> of </w:t>
      </w:r>
      <w:r w:rsidR="0011031B">
        <w:rPr>
          <w:noProof/>
        </w:rPr>
        <w:t>the single family and multifamily (MF) whole building</w:t>
      </w:r>
      <w:r>
        <w:rPr>
          <w:noProof/>
        </w:rPr>
        <w:t xml:space="preserve"> energy efficiency programs offered by Bay Area Regional Energy Network (BayREN) and Southern California Regional Energy Network (SoCalRen) for the 2013-2015 program years. This research build</w:t>
      </w:r>
      <w:r w:rsidR="0011031B">
        <w:rPr>
          <w:noProof/>
        </w:rPr>
        <w:t>s</w:t>
      </w:r>
      <w:r>
        <w:rPr>
          <w:noProof/>
        </w:rPr>
        <w:t xml:space="preserve"> upon the findings from </w:t>
      </w:r>
      <w:r w:rsidR="0011031B">
        <w:rPr>
          <w:noProof/>
        </w:rPr>
        <w:t xml:space="preserve">the 2013-2014 </w:t>
      </w:r>
      <w:r>
        <w:rPr>
          <w:noProof/>
        </w:rPr>
        <w:t>Regional Energy Network (REN) Impact Assessment</w:t>
      </w:r>
      <w:r>
        <w:rPr>
          <w:rStyle w:val="FootnoteReference"/>
          <w:noProof/>
        </w:rPr>
        <w:footnoteReference w:id="2"/>
      </w:r>
      <w:r w:rsidR="0011031B">
        <w:rPr>
          <w:noProof/>
        </w:rPr>
        <w:t xml:space="preserve">,  and will result in gross and net  savings impacts for the first three years of REN program implementation. </w:t>
      </w:r>
    </w:p>
    <w:p w14:paraId="3A543241" w14:textId="77777777" w:rsidR="0011031B" w:rsidRDefault="0011031B" w:rsidP="008E413A">
      <w:pPr>
        <w:pStyle w:val="ParaText"/>
        <w:rPr>
          <w:noProof/>
        </w:rPr>
      </w:pPr>
      <w:r>
        <w:rPr>
          <w:noProof/>
        </w:rPr>
        <w:t>The 2013-2014 REN Impact Assessment provided a high level assessment of the ex ante savings assumptions, including a comparison between REN and Invester Owned Utility (IOUs) impact assumptions. The objective of this previous research was to identify if there were any obvious over</w:t>
      </w:r>
      <w:r w:rsidR="00FD3A1E">
        <w:rPr>
          <w:noProof/>
        </w:rPr>
        <w:t>-</w:t>
      </w:r>
      <w:r>
        <w:rPr>
          <w:noProof/>
        </w:rPr>
        <w:t xml:space="preserve"> or understatements of </w:t>
      </w:r>
      <w:r w:rsidR="00FD3A1E">
        <w:rPr>
          <w:noProof/>
        </w:rPr>
        <w:t xml:space="preserve">claimed </w:t>
      </w:r>
      <w:r>
        <w:rPr>
          <w:noProof/>
        </w:rPr>
        <w:t>impacts and provide input to the RENs on what data should b</w:t>
      </w:r>
      <w:r w:rsidR="001904DD">
        <w:rPr>
          <w:noProof/>
        </w:rPr>
        <w:t xml:space="preserve">e collected and available to facilitate future impact evaluations. The 2013-2014 assessement provided the RENs insight on how to prepare for this full impact evaluation while their programs </w:t>
      </w:r>
      <w:r w:rsidR="00AA5066">
        <w:rPr>
          <w:noProof/>
        </w:rPr>
        <w:t>are scaling</w:t>
      </w:r>
      <w:r w:rsidR="00BF2363">
        <w:rPr>
          <w:noProof/>
        </w:rPr>
        <w:t xml:space="preserve"> up</w:t>
      </w:r>
      <w:r w:rsidR="00AA5066">
        <w:rPr>
          <w:noProof/>
        </w:rPr>
        <w:t xml:space="preserve">. </w:t>
      </w:r>
    </w:p>
    <w:p w14:paraId="4B18B6F6" w14:textId="77777777" w:rsidR="001904DD" w:rsidRDefault="001904DD" w:rsidP="008E413A">
      <w:pPr>
        <w:pStyle w:val="ParaText"/>
        <w:rPr>
          <w:noProof/>
        </w:rPr>
      </w:pPr>
      <w:r>
        <w:rPr>
          <w:noProof/>
        </w:rPr>
        <w:t xml:space="preserve">This impact evaluation </w:t>
      </w:r>
      <w:r w:rsidR="00AA5066">
        <w:rPr>
          <w:noProof/>
        </w:rPr>
        <w:t>aims to answer the following research questions for the 2013-2015 BayREN and SoCalREN single family and multifamily whole building programs:</w:t>
      </w:r>
    </w:p>
    <w:p w14:paraId="0E2FE2EC" w14:textId="77777777" w:rsidR="00AA5066" w:rsidRDefault="00AA5066" w:rsidP="00AA5066">
      <w:pPr>
        <w:pStyle w:val="ParaText"/>
        <w:numPr>
          <w:ilvl w:val="0"/>
          <w:numId w:val="19"/>
        </w:numPr>
        <w:rPr>
          <w:noProof/>
        </w:rPr>
      </w:pPr>
      <w:r>
        <w:rPr>
          <w:noProof/>
        </w:rPr>
        <w:t>What are the gross energy and demand savings (therms, kWh, kW) achieved by the BayREN and SoCalREN programs?</w:t>
      </w:r>
    </w:p>
    <w:p w14:paraId="5E212C42" w14:textId="77777777" w:rsidR="00AA5066" w:rsidRDefault="00AA5066" w:rsidP="00AA5066">
      <w:pPr>
        <w:pStyle w:val="ParaText"/>
        <w:numPr>
          <w:ilvl w:val="0"/>
          <w:numId w:val="19"/>
        </w:numPr>
        <w:rPr>
          <w:noProof/>
        </w:rPr>
      </w:pPr>
      <w:r>
        <w:rPr>
          <w:noProof/>
        </w:rPr>
        <w:t>What are the net energy and demand savings achieved by the programs?</w:t>
      </w:r>
    </w:p>
    <w:p w14:paraId="39ABC67B" w14:textId="77777777" w:rsidR="00AA5066" w:rsidRDefault="00AA5066" w:rsidP="00AA5066">
      <w:pPr>
        <w:pStyle w:val="ParaText"/>
        <w:numPr>
          <w:ilvl w:val="0"/>
          <w:numId w:val="19"/>
        </w:numPr>
        <w:rPr>
          <w:noProof/>
        </w:rPr>
      </w:pPr>
      <w:r>
        <w:rPr>
          <w:noProof/>
        </w:rPr>
        <w:t>How can the RENs improve their ex ante savings claims so that they align with ex post values?</w:t>
      </w:r>
    </w:p>
    <w:p w14:paraId="0DEA22BF" w14:textId="77777777" w:rsidR="007010D0" w:rsidRDefault="00E72B30" w:rsidP="008E413A">
      <w:pPr>
        <w:pStyle w:val="ParaText"/>
        <w:rPr>
          <w:noProof/>
        </w:rPr>
      </w:pPr>
      <w:r>
        <w:rPr>
          <w:noProof/>
        </w:rPr>
        <w:t xml:space="preserve">Planned methods to answer these research questions are provided in </w:t>
      </w:r>
      <w:r w:rsidR="003F76E8">
        <w:rPr>
          <w:noProof/>
        </w:rPr>
        <w:t xml:space="preserve">Section </w:t>
      </w:r>
      <w:r w:rsidR="003F76E8">
        <w:rPr>
          <w:noProof/>
          <w:highlight w:val="yellow"/>
        </w:rPr>
        <w:fldChar w:fldCharType="begin"/>
      </w:r>
      <w:r w:rsidR="003F76E8">
        <w:rPr>
          <w:noProof/>
        </w:rPr>
        <w:instrText xml:space="preserve"> REF _Ref454372642 \r \h </w:instrText>
      </w:r>
      <w:r w:rsidR="003F76E8">
        <w:rPr>
          <w:noProof/>
          <w:highlight w:val="yellow"/>
        </w:rPr>
      </w:r>
      <w:r w:rsidR="003F76E8">
        <w:rPr>
          <w:noProof/>
          <w:highlight w:val="yellow"/>
        </w:rPr>
        <w:fldChar w:fldCharType="separate"/>
      </w:r>
      <w:r w:rsidR="00A53E5B">
        <w:rPr>
          <w:noProof/>
        </w:rPr>
        <w:t>2</w:t>
      </w:r>
      <w:r w:rsidR="003F76E8">
        <w:rPr>
          <w:noProof/>
          <w:highlight w:val="yellow"/>
        </w:rPr>
        <w:fldChar w:fldCharType="end"/>
      </w:r>
      <w:r w:rsidR="003F76E8">
        <w:rPr>
          <w:noProof/>
        </w:rPr>
        <w:t>.</w:t>
      </w:r>
    </w:p>
    <w:p w14:paraId="6A43A67E" w14:textId="77777777" w:rsidR="00E72B30" w:rsidRDefault="000E085A" w:rsidP="00E72B30">
      <w:pPr>
        <w:pStyle w:val="Heading2"/>
        <w:rPr>
          <w:noProof/>
        </w:rPr>
      </w:pPr>
      <w:bookmarkStart w:id="7" w:name="_Toc455072254"/>
      <w:bookmarkStart w:id="8" w:name="_Toc456174331"/>
      <w:r>
        <w:rPr>
          <w:noProof/>
        </w:rPr>
        <w:t>Program Overview</w:t>
      </w:r>
      <w:r w:rsidR="001C72EF">
        <w:rPr>
          <w:noProof/>
        </w:rPr>
        <w:t>s</w:t>
      </w:r>
      <w:bookmarkEnd w:id="7"/>
      <w:bookmarkEnd w:id="8"/>
    </w:p>
    <w:p w14:paraId="405716F3" w14:textId="2052DCA5" w:rsidR="00E72B30" w:rsidRDefault="00E72B30" w:rsidP="00E72B30">
      <w:pPr>
        <w:pStyle w:val="ParaText"/>
      </w:pPr>
      <w:r>
        <w:t xml:space="preserve">Both the single family and multifamily whole building programs implemented by </w:t>
      </w:r>
      <w:r w:rsidRPr="007F4D51">
        <w:t xml:space="preserve">Bay Area Regional Energy Network </w:t>
      </w:r>
      <w:r>
        <w:t>(</w:t>
      </w:r>
      <w:r w:rsidRPr="0077370A">
        <w:t>BayREN</w:t>
      </w:r>
      <w:r>
        <w:t>)</w:t>
      </w:r>
      <w:r>
        <w:rPr>
          <w:rStyle w:val="FootnoteReference"/>
        </w:rPr>
        <w:footnoteReference w:id="3"/>
      </w:r>
      <w:r>
        <w:t xml:space="preserve"> and </w:t>
      </w:r>
      <w:r w:rsidRPr="007F4D51">
        <w:t>Southern California Regional Energy Network</w:t>
      </w:r>
      <w:r w:rsidRPr="005E1FF9">
        <w:t xml:space="preserve"> </w:t>
      </w:r>
      <w:r>
        <w:t>(</w:t>
      </w:r>
      <w:proofErr w:type="spellStart"/>
      <w:r w:rsidRPr="0077370A">
        <w:t>SoCalREN</w:t>
      </w:r>
      <w:proofErr w:type="spellEnd"/>
      <w:r>
        <w:t>)</w:t>
      </w:r>
      <w:r>
        <w:rPr>
          <w:rStyle w:val="FootnoteReference"/>
        </w:rPr>
        <w:footnoteReference w:id="4"/>
      </w:r>
      <w:r>
        <w:t xml:space="preserve"> will be evaluated under this research plan.</w:t>
      </w:r>
      <w:r w:rsidRPr="00E72B30">
        <w:rPr>
          <w:rStyle w:val="FootnoteReference"/>
        </w:rPr>
        <w:t xml:space="preserve"> </w:t>
      </w:r>
      <w:r>
        <w:t xml:space="preserve"> These programs are detailed below</w:t>
      </w:r>
    </w:p>
    <w:p w14:paraId="681846AF" w14:textId="1C99A2D1" w:rsidR="00E72B30" w:rsidRDefault="00E72B30" w:rsidP="00E72B30">
      <w:pPr>
        <w:pStyle w:val="ParaText"/>
        <w:numPr>
          <w:ilvl w:val="0"/>
          <w:numId w:val="23"/>
        </w:numPr>
      </w:pPr>
      <w:r w:rsidRPr="00E72B30">
        <w:rPr>
          <w:b/>
        </w:rPr>
        <w:lastRenderedPageBreak/>
        <w:t xml:space="preserve">Single Family Home Upgrade </w:t>
      </w:r>
      <w:r w:rsidRPr="00E72B30">
        <w:t xml:space="preserve">service is available to owners of single family detached homes in the </w:t>
      </w:r>
      <w:proofErr w:type="spellStart"/>
      <w:r w:rsidRPr="00E72B30">
        <w:t>BayREN</w:t>
      </w:r>
      <w:proofErr w:type="spellEnd"/>
      <w:r w:rsidRPr="00E72B30">
        <w:t xml:space="preserve"> </w:t>
      </w:r>
      <w:r w:rsidR="00953C6A">
        <w:t xml:space="preserve">and </w:t>
      </w:r>
      <w:proofErr w:type="spellStart"/>
      <w:r w:rsidR="00953C6A">
        <w:t>SoCalREN</w:t>
      </w:r>
      <w:proofErr w:type="spellEnd"/>
      <w:r w:rsidR="00953C6A">
        <w:t xml:space="preserve"> territories</w:t>
      </w:r>
      <w:r w:rsidR="00843DF9">
        <w:t>,</w:t>
      </w:r>
      <w:r w:rsidR="00843DF9">
        <w:rPr>
          <w:rStyle w:val="FootnoteReference"/>
        </w:rPr>
        <w:footnoteReference w:id="5"/>
      </w:r>
      <w:r w:rsidR="00541507">
        <w:rPr>
          <w:rStyle w:val="FootnoteReference"/>
        </w:rPr>
        <w:footnoteReference w:id="6"/>
      </w:r>
      <w:r w:rsidR="00843DF9">
        <w:t xml:space="preserve">  </w:t>
      </w:r>
      <w:r w:rsidR="009A1298">
        <w:t>marketed as the</w:t>
      </w:r>
      <w:r w:rsidRPr="00E72B30">
        <w:t xml:space="preserve"> Home Upgrade program.</w:t>
      </w:r>
      <w:r w:rsidR="000E085A">
        <w:rPr>
          <w:rStyle w:val="FootnoteReference"/>
        </w:rPr>
        <w:footnoteReference w:id="7"/>
      </w:r>
      <w:r w:rsidRPr="00E72B30">
        <w:t xml:space="preserve">  Participants of the Home Upgrade program choose a minimum of three upgrade measures</w:t>
      </w:r>
      <w:r w:rsidR="00541507">
        <w:t>.</w:t>
      </w:r>
      <w:r w:rsidRPr="00E72B30">
        <w:t xml:space="preserve">  </w:t>
      </w:r>
      <w:proofErr w:type="gramStart"/>
      <w:r w:rsidRPr="00E72B30">
        <w:t>up</w:t>
      </w:r>
      <w:proofErr w:type="gramEnd"/>
      <w:r w:rsidRPr="00E72B30">
        <w:t xml:space="preserve"> to a maximum of $3,000.</w:t>
      </w:r>
      <w:r w:rsidRPr="009A1298">
        <w:rPr>
          <w:vertAlign w:val="superscript"/>
        </w:rPr>
        <w:footnoteReference w:id="8"/>
      </w:r>
      <w:r w:rsidRPr="00E72B30">
        <w:t xml:space="preserve">  </w:t>
      </w:r>
      <w:proofErr w:type="spellStart"/>
      <w:r w:rsidR="00541507">
        <w:t>SoCalR</w:t>
      </w:r>
      <w:r w:rsidR="007A4127">
        <w:t>EN</w:t>
      </w:r>
      <w:proofErr w:type="spellEnd"/>
      <w:r w:rsidR="007A4127">
        <w:t xml:space="preserve"> also offered a $150 CAS</w:t>
      </w:r>
      <w:r w:rsidR="0034186E">
        <w:t xml:space="preserve"> Test-</w:t>
      </w:r>
      <w:r w:rsidR="00541507">
        <w:t xml:space="preserve">in Bonus from 4/1/2014 to 7/22/2015. </w:t>
      </w:r>
      <w:r w:rsidRPr="00E72B30">
        <w:t xml:space="preserve">By lowering logistical costs and overcoming technological and education barriers for participants, as well as by reducing costs for participating contractors through streamlined program design and implementation, Home Upgrade is poised to broaden participation of skilled, specialty contractors and deliver a highly accessible upgrade product to market. Key program elements include the addition of alternative and multiple upgrade package incentives, enhanced marketing efforts, development of targeted audit incentives, streamlined enrollment and reporting systems, integration of improvements related to the water-energy nexus, and the implementation of the Home Upgrade Advisor service to support homeowners and contractors through the process.  </w:t>
      </w:r>
    </w:p>
    <w:p w14:paraId="3FDFE42A" w14:textId="735747E6" w:rsidR="001856E0" w:rsidRDefault="00E72B30" w:rsidP="007A4127">
      <w:pPr>
        <w:pStyle w:val="ListParagraph"/>
        <w:numPr>
          <w:ilvl w:val="0"/>
          <w:numId w:val="23"/>
        </w:numPr>
      </w:pPr>
      <w:r w:rsidRPr="00E72B30">
        <w:t xml:space="preserve">The </w:t>
      </w:r>
      <w:r w:rsidRPr="00E72B30">
        <w:rPr>
          <w:b/>
        </w:rPr>
        <w:t>Multifamily Whole Building</w:t>
      </w:r>
      <w:r w:rsidRPr="00E72B30">
        <w:t xml:space="preserve"> service conducts targeted outreach to multifamily property owners to promote participation.  It is marketed under Energy Upgrade California®.  This service allows property owners to receive free technical assistance designed to lower barriers to multiple measure upgrades through technical and financing assistance.  Property owners receive customized scopes of work designed to reduce building energy use.  </w:t>
      </w:r>
      <w:r w:rsidR="00541507">
        <w:t xml:space="preserve"> </w:t>
      </w:r>
      <w:proofErr w:type="spellStart"/>
      <w:r w:rsidR="00541507">
        <w:t>SoCalREN</w:t>
      </w:r>
      <w:proofErr w:type="spellEnd"/>
      <w:r w:rsidR="00541507">
        <w:t xml:space="preserve"> relies on participant raters to work with property owners to achieve their project goals; the cost</w:t>
      </w:r>
      <w:r w:rsidR="004711A6">
        <w:t>s</w:t>
      </w:r>
      <w:r w:rsidR="00541507">
        <w:t xml:space="preserve"> of the rater services are then offset by the assessment incentive.</w:t>
      </w:r>
      <w:r w:rsidRPr="00E72B30">
        <w:t xml:space="preserve">  Building owners are eligible for a per unit rebate upon completing the energy efficiency improvements identified in the scope of work.  </w:t>
      </w:r>
    </w:p>
    <w:p w14:paraId="345706C8" w14:textId="17666273" w:rsidR="00541507" w:rsidRDefault="001856E0" w:rsidP="008068AB">
      <w:pPr>
        <w:pStyle w:val="ListParagraph"/>
        <w:numPr>
          <w:ilvl w:val="1"/>
          <w:numId w:val="23"/>
        </w:numPr>
      </w:pPr>
      <w:r>
        <w:fldChar w:fldCharType="begin"/>
      </w:r>
      <w:r>
        <w:instrText xml:space="preserve"> REF _Ref456347190 \h </w:instrText>
      </w:r>
      <w:r>
        <w:fldChar w:fldCharType="separate"/>
      </w:r>
      <w:r w:rsidR="00A53E5B">
        <w:t xml:space="preserve">Table </w:t>
      </w:r>
      <w:r w:rsidR="00A53E5B">
        <w:rPr>
          <w:noProof/>
        </w:rPr>
        <w:t>A</w:t>
      </w:r>
      <w:r>
        <w:fldChar w:fldCharType="end"/>
      </w:r>
      <w:r>
        <w:t xml:space="preserve"> </w:t>
      </w:r>
      <w:r w:rsidR="00541507">
        <w:t xml:space="preserve">outlines some of the </w:t>
      </w:r>
      <w:r w:rsidR="007A4127">
        <w:t>features of</w:t>
      </w:r>
      <w:r w:rsidR="00541507">
        <w:t xml:space="preserve"> multifamily</w:t>
      </w:r>
      <w:r w:rsidR="007A4127">
        <w:t xml:space="preserve"> program</w:t>
      </w:r>
      <w:r w:rsidR="00541507">
        <w:t xml:space="preserve"> implementation between the two program administrators. </w:t>
      </w:r>
    </w:p>
    <w:p w14:paraId="5718F852" w14:textId="77777777" w:rsidR="001856E0" w:rsidRDefault="001856E0" w:rsidP="008068AB"/>
    <w:p w14:paraId="1A7E5568" w14:textId="77777777" w:rsidR="001856E0" w:rsidRDefault="001856E0" w:rsidP="008068AB"/>
    <w:p w14:paraId="3869C0A1" w14:textId="4A6AEFD4" w:rsidR="001856E0" w:rsidRDefault="001856E0" w:rsidP="008068AB">
      <w:pPr>
        <w:pStyle w:val="Caption"/>
        <w:keepLines/>
      </w:pPr>
      <w:bookmarkStart w:id="9" w:name="_Ref456347190"/>
      <w:r>
        <w:lastRenderedPageBreak/>
        <w:t xml:space="preserve">Table </w:t>
      </w:r>
      <w:r w:rsidR="007D3FC6">
        <w:fldChar w:fldCharType="begin"/>
      </w:r>
      <w:r w:rsidR="007D3FC6">
        <w:instrText xml:space="preserve"> SEQ Table \* ALPHABETIC </w:instrText>
      </w:r>
      <w:r w:rsidR="007D3FC6">
        <w:fldChar w:fldCharType="separate"/>
      </w:r>
      <w:r w:rsidR="00A53E5B">
        <w:rPr>
          <w:noProof/>
        </w:rPr>
        <w:t>A</w:t>
      </w:r>
      <w:r w:rsidR="007D3FC6">
        <w:rPr>
          <w:noProof/>
        </w:rPr>
        <w:fldChar w:fldCharType="end"/>
      </w:r>
      <w:bookmarkEnd w:id="9"/>
      <w:r>
        <w:t>. Multifamily Program Elements, by Program Administrator</w:t>
      </w:r>
      <w:r>
        <w:rPr>
          <w:rStyle w:val="FootnoteReference"/>
        </w:rPr>
        <w:footnoteReference w:id="9"/>
      </w:r>
    </w:p>
    <w:tbl>
      <w:tblPr>
        <w:tblW w:w="7575" w:type="dxa"/>
        <w:tblInd w:w="93" w:type="dxa"/>
        <w:tblLook w:val="04A0" w:firstRow="1" w:lastRow="0" w:firstColumn="1" w:lastColumn="0" w:noHBand="0" w:noVBand="1"/>
      </w:tblPr>
      <w:tblGrid>
        <w:gridCol w:w="2167"/>
        <w:gridCol w:w="1468"/>
        <w:gridCol w:w="1411"/>
        <w:gridCol w:w="1468"/>
        <w:gridCol w:w="1061"/>
      </w:tblGrid>
      <w:tr w:rsidR="001856E0" w:rsidRPr="001856E0" w14:paraId="50185C0E" w14:textId="77777777" w:rsidTr="008068AB">
        <w:trPr>
          <w:trHeight w:val="915"/>
        </w:trPr>
        <w:tc>
          <w:tcPr>
            <w:tcW w:w="2265" w:type="dxa"/>
            <w:tcBorders>
              <w:top w:val="single" w:sz="8" w:space="0" w:color="A6A6A6"/>
              <w:left w:val="single" w:sz="8" w:space="0" w:color="A6A6A6"/>
              <w:bottom w:val="nil"/>
              <w:right w:val="nil"/>
            </w:tcBorders>
            <w:shd w:val="clear" w:color="000000" w:fill="3F9C35"/>
            <w:vAlign w:val="center"/>
            <w:hideMark/>
          </w:tcPr>
          <w:p w14:paraId="0F37AD99" w14:textId="77777777" w:rsidR="001856E0" w:rsidRPr="001856E0" w:rsidRDefault="001856E0" w:rsidP="008068AB">
            <w:pPr>
              <w:keepLines/>
              <w:spacing w:line="240" w:lineRule="auto"/>
              <w:jc w:val="center"/>
              <w:rPr>
                <w:rFonts w:ascii="Verdana" w:hAnsi="Verdana"/>
                <w:b/>
                <w:bCs/>
                <w:color w:val="FFFFFF"/>
                <w:sz w:val="20"/>
                <w:szCs w:val="20"/>
              </w:rPr>
            </w:pPr>
            <w:r w:rsidRPr="001856E0">
              <w:rPr>
                <w:rFonts w:ascii="Verdana" w:hAnsi="Verdana"/>
                <w:b/>
                <w:bCs/>
                <w:color w:val="FFFFFF"/>
                <w:sz w:val="20"/>
                <w:szCs w:val="20"/>
              </w:rPr>
              <w:t>Program Element</w:t>
            </w:r>
          </w:p>
        </w:tc>
        <w:tc>
          <w:tcPr>
            <w:tcW w:w="2745" w:type="dxa"/>
            <w:gridSpan w:val="2"/>
            <w:tcBorders>
              <w:top w:val="single" w:sz="8" w:space="0" w:color="A6A6A6"/>
              <w:left w:val="single" w:sz="8" w:space="0" w:color="A6A6A6"/>
              <w:bottom w:val="single" w:sz="8" w:space="0" w:color="auto"/>
              <w:right w:val="single" w:sz="8" w:space="0" w:color="A6A6A6"/>
            </w:tcBorders>
            <w:shd w:val="clear" w:color="000000" w:fill="3F9C35"/>
            <w:vAlign w:val="center"/>
            <w:hideMark/>
          </w:tcPr>
          <w:p w14:paraId="660B7868" w14:textId="77777777" w:rsidR="001856E0" w:rsidRPr="001856E0" w:rsidRDefault="001856E0" w:rsidP="008068AB">
            <w:pPr>
              <w:keepLines/>
              <w:spacing w:line="240" w:lineRule="auto"/>
              <w:jc w:val="center"/>
              <w:rPr>
                <w:rFonts w:ascii="Verdana" w:hAnsi="Verdana"/>
                <w:b/>
                <w:bCs/>
                <w:color w:val="FFFFFF"/>
                <w:sz w:val="20"/>
                <w:szCs w:val="20"/>
              </w:rPr>
            </w:pPr>
            <w:proofErr w:type="spellStart"/>
            <w:r w:rsidRPr="001856E0">
              <w:rPr>
                <w:rFonts w:ascii="Verdana" w:hAnsi="Verdana"/>
                <w:b/>
                <w:bCs/>
                <w:color w:val="FFFFFF"/>
                <w:sz w:val="20"/>
                <w:szCs w:val="20"/>
              </w:rPr>
              <w:t>SoCalREN</w:t>
            </w:r>
            <w:proofErr w:type="spellEnd"/>
          </w:p>
        </w:tc>
        <w:tc>
          <w:tcPr>
            <w:tcW w:w="2565" w:type="dxa"/>
            <w:gridSpan w:val="2"/>
            <w:tcBorders>
              <w:top w:val="single" w:sz="8" w:space="0" w:color="A6A6A6"/>
              <w:left w:val="nil"/>
              <w:bottom w:val="single" w:sz="8" w:space="0" w:color="auto"/>
              <w:right w:val="nil"/>
            </w:tcBorders>
            <w:shd w:val="clear" w:color="000000" w:fill="3F9C35"/>
            <w:vAlign w:val="center"/>
            <w:hideMark/>
          </w:tcPr>
          <w:p w14:paraId="611725F7" w14:textId="77777777" w:rsidR="001856E0" w:rsidRPr="001856E0" w:rsidRDefault="001856E0" w:rsidP="008068AB">
            <w:pPr>
              <w:keepLines/>
              <w:spacing w:line="240" w:lineRule="auto"/>
              <w:jc w:val="center"/>
              <w:rPr>
                <w:rFonts w:ascii="Verdana" w:hAnsi="Verdana"/>
                <w:b/>
                <w:bCs/>
                <w:color w:val="FFFFFF"/>
                <w:sz w:val="20"/>
                <w:szCs w:val="20"/>
              </w:rPr>
            </w:pPr>
            <w:proofErr w:type="spellStart"/>
            <w:r w:rsidRPr="001856E0">
              <w:rPr>
                <w:rFonts w:ascii="Verdana" w:hAnsi="Verdana"/>
                <w:b/>
                <w:bCs/>
                <w:color w:val="FFFFFF"/>
                <w:sz w:val="20"/>
                <w:szCs w:val="20"/>
              </w:rPr>
              <w:t>BayREN</w:t>
            </w:r>
            <w:proofErr w:type="spellEnd"/>
          </w:p>
        </w:tc>
      </w:tr>
      <w:tr w:rsidR="001856E0" w:rsidRPr="001856E0" w14:paraId="4020A050" w14:textId="77777777" w:rsidTr="008068AB">
        <w:trPr>
          <w:trHeight w:val="1087"/>
        </w:trPr>
        <w:tc>
          <w:tcPr>
            <w:tcW w:w="2265" w:type="dxa"/>
            <w:tcBorders>
              <w:top w:val="nil"/>
              <w:left w:val="single" w:sz="8" w:space="0" w:color="auto"/>
              <w:bottom w:val="single" w:sz="8" w:space="0" w:color="auto"/>
              <w:right w:val="single" w:sz="8" w:space="0" w:color="auto"/>
            </w:tcBorders>
            <w:shd w:val="clear" w:color="auto" w:fill="auto"/>
            <w:vAlign w:val="center"/>
            <w:hideMark/>
          </w:tcPr>
          <w:p w14:paraId="5190716E" w14:textId="77777777" w:rsidR="001856E0" w:rsidRPr="001856E0" w:rsidRDefault="001856E0" w:rsidP="008068AB">
            <w:pPr>
              <w:keepLines/>
              <w:spacing w:line="240" w:lineRule="auto"/>
              <w:rPr>
                <w:b/>
                <w:bCs/>
                <w:color w:val="000000"/>
              </w:rPr>
            </w:pPr>
            <w:r w:rsidRPr="001856E0">
              <w:rPr>
                <w:b/>
                <w:bCs/>
                <w:color w:val="000000"/>
              </w:rPr>
              <w:t>Service Territory</w:t>
            </w:r>
          </w:p>
        </w:tc>
        <w:tc>
          <w:tcPr>
            <w:tcW w:w="2745" w:type="dxa"/>
            <w:gridSpan w:val="2"/>
            <w:tcBorders>
              <w:top w:val="single" w:sz="8" w:space="0" w:color="auto"/>
              <w:left w:val="nil"/>
              <w:bottom w:val="single" w:sz="8" w:space="0" w:color="auto"/>
              <w:right w:val="single" w:sz="8" w:space="0" w:color="000000"/>
            </w:tcBorders>
            <w:shd w:val="clear" w:color="auto" w:fill="auto"/>
            <w:vAlign w:val="center"/>
            <w:hideMark/>
          </w:tcPr>
          <w:p w14:paraId="2D5C7BD4" w14:textId="77777777" w:rsidR="001856E0" w:rsidRPr="001856E0" w:rsidRDefault="001856E0" w:rsidP="008068AB">
            <w:pPr>
              <w:keepLines/>
              <w:spacing w:line="240" w:lineRule="auto"/>
              <w:jc w:val="center"/>
              <w:rPr>
                <w:color w:val="000000"/>
              </w:rPr>
            </w:pPr>
            <w:r w:rsidRPr="001856E0">
              <w:rPr>
                <w:color w:val="000000"/>
              </w:rPr>
              <w:t>Joint SCE/SCG territory, minus municipal service territories (e.g. LADWP)</w:t>
            </w:r>
          </w:p>
        </w:tc>
        <w:tc>
          <w:tcPr>
            <w:tcW w:w="2565" w:type="dxa"/>
            <w:gridSpan w:val="2"/>
            <w:tcBorders>
              <w:top w:val="single" w:sz="8" w:space="0" w:color="auto"/>
              <w:left w:val="nil"/>
              <w:bottom w:val="single" w:sz="8" w:space="0" w:color="auto"/>
              <w:right w:val="single" w:sz="8" w:space="0" w:color="000000"/>
            </w:tcBorders>
            <w:shd w:val="clear" w:color="auto" w:fill="auto"/>
            <w:vAlign w:val="center"/>
            <w:hideMark/>
          </w:tcPr>
          <w:p w14:paraId="500738F3" w14:textId="77777777" w:rsidR="001856E0" w:rsidRPr="001856E0" w:rsidRDefault="001856E0" w:rsidP="008068AB">
            <w:pPr>
              <w:keepLines/>
              <w:spacing w:line="240" w:lineRule="auto"/>
              <w:jc w:val="center"/>
              <w:rPr>
                <w:color w:val="000000"/>
              </w:rPr>
            </w:pPr>
            <w:r w:rsidRPr="001856E0">
              <w:rPr>
                <w:color w:val="000000"/>
              </w:rPr>
              <w:t>9-County Bay Area</w:t>
            </w:r>
          </w:p>
        </w:tc>
      </w:tr>
      <w:tr w:rsidR="001856E0" w:rsidRPr="001856E0" w14:paraId="6FB2F1DA" w14:textId="77777777" w:rsidTr="008068AB">
        <w:trPr>
          <w:trHeight w:val="1150"/>
        </w:trPr>
        <w:tc>
          <w:tcPr>
            <w:tcW w:w="2265" w:type="dxa"/>
            <w:tcBorders>
              <w:top w:val="nil"/>
              <w:left w:val="single" w:sz="8" w:space="0" w:color="auto"/>
              <w:bottom w:val="single" w:sz="8" w:space="0" w:color="auto"/>
              <w:right w:val="single" w:sz="8" w:space="0" w:color="auto"/>
            </w:tcBorders>
            <w:shd w:val="clear" w:color="auto" w:fill="auto"/>
            <w:vAlign w:val="center"/>
            <w:hideMark/>
          </w:tcPr>
          <w:p w14:paraId="3EB2F554" w14:textId="77777777" w:rsidR="001856E0" w:rsidRPr="001856E0" w:rsidRDefault="001856E0" w:rsidP="008068AB">
            <w:pPr>
              <w:keepLines/>
              <w:spacing w:line="240" w:lineRule="auto"/>
              <w:rPr>
                <w:b/>
                <w:bCs/>
                <w:color w:val="000000"/>
              </w:rPr>
            </w:pPr>
            <w:r w:rsidRPr="001856E0">
              <w:rPr>
                <w:b/>
                <w:bCs/>
                <w:color w:val="000000"/>
              </w:rPr>
              <w:t>Eligibility Requirements</w:t>
            </w:r>
          </w:p>
        </w:tc>
        <w:tc>
          <w:tcPr>
            <w:tcW w:w="2745" w:type="dxa"/>
            <w:gridSpan w:val="2"/>
            <w:tcBorders>
              <w:top w:val="single" w:sz="8" w:space="0" w:color="auto"/>
              <w:left w:val="nil"/>
              <w:bottom w:val="single" w:sz="8" w:space="0" w:color="auto"/>
              <w:right w:val="single" w:sz="8" w:space="0" w:color="000000"/>
            </w:tcBorders>
            <w:shd w:val="clear" w:color="auto" w:fill="auto"/>
            <w:vAlign w:val="center"/>
            <w:hideMark/>
          </w:tcPr>
          <w:p w14:paraId="727A704E" w14:textId="77777777" w:rsidR="001856E0" w:rsidRPr="001856E0" w:rsidRDefault="001856E0" w:rsidP="008068AB">
            <w:pPr>
              <w:keepLines/>
              <w:spacing w:line="240" w:lineRule="auto"/>
              <w:jc w:val="center"/>
              <w:rPr>
                <w:color w:val="000000"/>
              </w:rPr>
            </w:pPr>
            <w:r w:rsidRPr="001856E0">
              <w:rPr>
                <w:color w:val="000000"/>
              </w:rPr>
              <w:t>3+ units; SCE &amp; SCG service; 3+ measures; work with Participating Rater</w:t>
            </w:r>
          </w:p>
        </w:tc>
        <w:tc>
          <w:tcPr>
            <w:tcW w:w="2565" w:type="dxa"/>
            <w:gridSpan w:val="2"/>
            <w:tcBorders>
              <w:top w:val="single" w:sz="8" w:space="0" w:color="auto"/>
              <w:left w:val="nil"/>
              <w:bottom w:val="single" w:sz="8" w:space="0" w:color="auto"/>
              <w:right w:val="single" w:sz="8" w:space="0" w:color="000000"/>
            </w:tcBorders>
            <w:shd w:val="clear" w:color="auto" w:fill="auto"/>
            <w:vAlign w:val="center"/>
            <w:hideMark/>
          </w:tcPr>
          <w:p w14:paraId="5E33438A" w14:textId="77777777" w:rsidR="001856E0" w:rsidRPr="001856E0" w:rsidRDefault="001856E0" w:rsidP="008068AB">
            <w:pPr>
              <w:keepLines/>
              <w:spacing w:line="240" w:lineRule="auto"/>
              <w:jc w:val="center"/>
              <w:rPr>
                <w:color w:val="000000"/>
              </w:rPr>
            </w:pPr>
            <w:r w:rsidRPr="001856E0">
              <w:rPr>
                <w:color w:val="000000"/>
              </w:rPr>
              <w:t>5+ units; 9-county Bay Area; PG&amp;E gas and/or electric; 2+ measures</w:t>
            </w:r>
          </w:p>
        </w:tc>
      </w:tr>
      <w:tr w:rsidR="001856E0" w:rsidRPr="001856E0" w14:paraId="030687F9" w14:textId="77777777" w:rsidTr="008068AB">
        <w:trPr>
          <w:trHeight w:val="790"/>
        </w:trPr>
        <w:tc>
          <w:tcPr>
            <w:tcW w:w="2265" w:type="dxa"/>
            <w:tcBorders>
              <w:top w:val="nil"/>
              <w:left w:val="single" w:sz="8" w:space="0" w:color="auto"/>
              <w:bottom w:val="single" w:sz="8" w:space="0" w:color="auto"/>
              <w:right w:val="single" w:sz="8" w:space="0" w:color="auto"/>
            </w:tcBorders>
            <w:shd w:val="clear" w:color="auto" w:fill="auto"/>
            <w:vAlign w:val="center"/>
            <w:hideMark/>
          </w:tcPr>
          <w:p w14:paraId="3EF5278A" w14:textId="77777777" w:rsidR="001856E0" w:rsidRPr="001856E0" w:rsidRDefault="001856E0" w:rsidP="008068AB">
            <w:pPr>
              <w:keepLines/>
              <w:spacing w:line="240" w:lineRule="auto"/>
              <w:rPr>
                <w:b/>
                <w:bCs/>
                <w:color w:val="000000"/>
              </w:rPr>
            </w:pPr>
            <w:r w:rsidRPr="001856E0">
              <w:rPr>
                <w:b/>
                <w:bCs/>
                <w:color w:val="000000"/>
              </w:rPr>
              <w:t>Rater Delivery Model</w:t>
            </w:r>
          </w:p>
        </w:tc>
        <w:tc>
          <w:tcPr>
            <w:tcW w:w="2745" w:type="dxa"/>
            <w:gridSpan w:val="2"/>
            <w:tcBorders>
              <w:top w:val="single" w:sz="8" w:space="0" w:color="auto"/>
              <w:left w:val="nil"/>
              <w:bottom w:val="single" w:sz="8" w:space="0" w:color="auto"/>
              <w:right w:val="single" w:sz="8" w:space="0" w:color="000000"/>
            </w:tcBorders>
            <w:shd w:val="clear" w:color="auto" w:fill="auto"/>
            <w:vAlign w:val="center"/>
            <w:hideMark/>
          </w:tcPr>
          <w:p w14:paraId="5DFAAFD3" w14:textId="77777777" w:rsidR="001856E0" w:rsidRPr="001856E0" w:rsidRDefault="001856E0" w:rsidP="008068AB">
            <w:pPr>
              <w:keepLines/>
              <w:spacing w:line="240" w:lineRule="auto"/>
              <w:jc w:val="center"/>
              <w:rPr>
                <w:color w:val="000000"/>
              </w:rPr>
            </w:pPr>
            <w:r w:rsidRPr="001856E0">
              <w:rPr>
                <w:color w:val="000000"/>
              </w:rPr>
              <w:t>Open Rater</w:t>
            </w:r>
          </w:p>
        </w:tc>
        <w:tc>
          <w:tcPr>
            <w:tcW w:w="2565" w:type="dxa"/>
            <w:gridSpan w:val="2"/>
            <w:tcBorders>
              <w:top w:val="single" w:sz="8" w:space="0" w:color="auto"/>
              <w:left w:val="nil"/>
              <w:bottom w:val="single" w:sz="8" w:space="0" w:color="auto"/>
              <w:right w:val="single" w:sz="8" w:space="0" w:color="000000"/>
            </w:tcBorders>
            <w:shd w:val="clear" w:color="auto" w:fill="auto"/>
            <w:vAlign w:val="center"/>
            <w:hideMark/>
          </w:tcPr>
          <w:p w14:paraId="7538118F" w14:textId="77777777" w:rsidR="001856E0" w:rsidRPr="001856E0" w:rsidRDefault="001856E0" w:rsidP="008068AB">
            <w:pPr>
              <w:keepLines/>
              <w:spacing w:line="240" w:lineRule="auto"/>
              <w:jc w:val="center"/>
              <w:rPr>
                <w:color w:val="000000"/>
              </w:rPr>
            </w:pPr>
            <w:r w:rsidRPr="001856E0">
              <w:rPr>
                <w:color w:val="000000"/>
              </w:rPr>
              <w:t>Tech Assist. direct delivery by AEA</w:t>
            </w:r>
          </w:p>
        </w:tc>
      </w:tr>
      <w:tr w:rsidR="001856E0" w:rsidRPr="001856E0" w14:paraId="476D1493" w14:textId="77777777" w:rsidTr="008068AB">
        <w:trPr>
          <w:trHeight w:val="520"/>
        </w:trPr>
        <w:tc>
          <w:tcPr>
            <w:tcW w:w="2265" w:type="dxa"/>
            <w:tcBorders>
              <w:top w:val="nil"/>
              <w:left w:val="single" w:sz="8" w:space="0" w:color="auto"/>
              <w:bottom w:val="single" w:sz="8" w:space="0" w:color="auto"/>
              <w:right w:val="single" w:sz="8" w:space="0" w:color="auto"/>
            </w:tcBorders>
            <w:shd w:val="clear" w:color="auto" w:fill="auto"/>
            <w:vAlign w:val="center"/>
            <w:hideMark/>
          </w:tcPr>
          <w:p w14:paraId="2C9B1A06" w14:textId="77777777" w:rsidR="001856E0" w:rsidRPr="001856E0" w:rsidRDefault="001856E0" w:rsidP="008068AB">
            <w:pPr>
              <w:keepLines/>
              <w:spacing w:line="240" w:lineRule="auto"/>
              <w:rPr>
                <w:b/>
                <w:bCs/>
                <w:color w:val="000000"/>
              </w:rPr>
            </w:pPr>
            <w:r w:rsidRPr="001856E0">
              <w:rPr>
                <w:b/>
                <w:bCs/>
                <w:color w:val="000000"/>
              </w:rPr>
              <w:t>Audit Requirement</w:t>
            </w:r>
          </w:p>
        </w:tc>
        <w:tc>
          <w:tcPr>
            <w:tcW w:w="2745" w:type="dxa"/>
            <w:gridSpan w:val="2"/>
            <w:tcBorders>
              <w:top w:val="single" w:sz="8" w:space="0" w:color="auto"/>
              <w:left w:val="nil"/>
              <w:bottom w:val="single" w:sz="8" w:space="0" w:color="auto"/>
              <w:right w:val="single" w:sz="8" w:space="0" w:color="000000"/>
            </w:tcBorders>
            <w:shd w:val="clear" w:color="auto" w:fill="auto"/>
            <w:vAlign w:val="center"/>
            <w:hideMark/>
          </w:tcPr>
          <w:p w14:paraId="5542255B" w14:textId="77777777" w:rsidR="001856E0" w:rsidRPr="001856E0" w:rsidRDefault="001856E0" w:rsidP="008068AB">
            <w:pPr>
              <w:keepLines/>
              <w:spacing w:line="240" w:lineRule="auto"/>
              <w:jc w:val="center"/>
              <w:rPr>
                <w:color w:val="000000"/>
              </w:rPr>
            </w:pPr>
            <w:r w:rsidRPr="001856E0">
              <w:rPr>
                <w:color w:val="000000"/>
              </w:rPr>
              <w:t>ASHRAE Level 2</w:t>
            </w:r>
          </w:p>
        </w:tc>
        <w:tc>
          <w:tcPr>
            <w:tcW w:w="2565" w:type="dxa"/>
            <w:gridSpan w:val="2"/>
            <w:tcBorders>
              <w:top w:val="single" w:sz="8" w:space="0" w:color="auto"/>
              <w:left w:val="nil"/>
              <w:bottom w:val="single" w:sz="8" w:space="0" w:color="auto"/>
              <w:right w:val="single" w:sz="8" w:space="0" w:color="000000"/>
            </w:tcBorders>
            <w:shd w:val="clear" w:color="auto" w:fill="auto"/>
            <w:vAlign w:val="center"/>
            <w:hideMark/>
          </w:tcPr>
          <w:p w14:paraId="65A00858" w14:textId="77777777" w:rsidR="001856E0" w:rsidRPr="001856E0" w:rsidRDefault="001856E0" w:rsidP="008068AB">
            <w:pPr>
              <w:keepLines/>
              <w:spacing w:line="240" w:lineRule="auto"/>
              <w:jc w:val="center"/>
              <w:rPr>
                <w:color w:val="000000"/>
              </w:rPr>
            </w:pPr>
            <w:r w:rsidRPr="001856E0">
              <w:rPr>
                <w:color w:val="000000"/>
              </w:rPr>
              <w:t>Clipboard audit</w:t>
            </w:r>
          </w:p>
        </w:tc>
      </w:tr>
      <w:tr w:rsidR="001856E0" w:rsidRPr="001856E0" w14:paraId="52765CE8" w14:textId="77777777" w:rsidTr="008068AB">
        <w:trPr>
          <w:trHeight w:val="529"/>
        </w:trPr>
        <w:tc>
          <w:tcPr>
            <w:tcW w:w="2265" w:type="dxa"/>
            <w:tcBorders>
              <w:top w:val="nil"/>
              <w:left w:val="single" w:sz="8" w:space="0" w:color="auto"/>
              <w:bottom w:val="single" w:sz="8" w:space="0" w:color="auto"/>
              <w:right w:val="single" w:sz="8" w:space="0" w:color="auto"/>
            </w:tcBorders>
            <w:shd w:val="clear" w:color="auto" w:fill="auto"/>
            <w:vAlign w:val="center"/>
            <w:hideMark/>
          </w:tcPr>
          <w:p w14:paraId="3EBB27DD" w14:textId="77777777" w:rsidR="001856E0" w:rsidRPr="001856E0" w:rsidRDefault="001856E0" w:rsidP="008068AB">
            <w:pPr>
              <w:keepLines/>
              <w:spacing w:line="240" w:lineRule="auto"/>
              <w:rPr>
                <w:b/>
                <w:bCs/>
                <w:color w:val="000000"/>
              </w:rPr>
            </w:pPr>
            <w:r w:rsidRPr="001856E0">
              <w:rPr>
                <w:b/>
                <w:bCs/>
                <w:color w:val="000000"/>
              </w:rPr>
              <w:t>CAS Testing</w:t>
            </w:r>
          </w:p>
        </w:tc>
        <w:tc>
          <w:tcPr>
            <w:tcW w:w="2745" w:type="dxa"/>
            <w:gridSpan w:val="2"/>
            <w:tcBorders>
              <w:top w:val="single" w:sz="8" w:space="0" w:color="auto"/>
              <w:left w:val="nil"/>
              <w:bottom w:val="single" w:sz="8" w:space="0" w:color="auto"/>
              <w:right w:val="single" w:sz="8" w:space="0" w:color="000000"/>
            </w:tcBorders>
            <w:shd w:val="clear" w:color="auto" w:fill="auto"/>
            <w:vAlign w:val="center"/>
            <w:hideMark/>
          </w:tcPr>
          <w:p w14:paraId="2CF528AC" w14:textId="77777777" w:rsidR="001856E0" w:rsidRPr="001856E0" w:rsidRDefault="001856E0" w:rsidP="008068AB">
            <w:pPr>
              <w:keepLines/>
              <w:spacing w:line="240" w:lineRule="auto"/>
              <w:jc w:val="center"/>
              <w:rPr>
                <w:color w:val="000000"/>
              </w:rPr>
            </w:pPr>
            <w:r w:rsidRPr="001856E0">
              <w:rPr>
                <w:color w:val="000000"/>
              </w:rPr>
              <w:t>MF HERCC Protocols</w:t>
            </w:r>
          </w:p>
        </w:tc>
        <w:tc>
          <w:tcPr>
            <w:tcW w:w="2565" w:type="dxa"/>
            <w:gridSpan w:val="2"/>
            <w:tcBorders>
              <w:top w:val="single" w:sz="8" w:space="0" w:color="auto"/>
              <w:left w:val="nil"/>
              <w:bottom w:val="single" w:sz="8" w:space="0" w:color="auto"/>
              <w:right w:val="single" w:sz="8" w:space="0" w:color="000000"/>
            </w:tcBorders>
            <w:shd w:val="clear" w:color="auto" w:fill="auto"/>
            <w:vAlign w:val="center"/>
            <w:hideMark/>
          </w:tcPr>
          <w:p w14:paraId="54260ABA" w14:textId="77777777" w:rsidR="001856E0" w:rsidRPr="001856E0" w:rsidRDefault="001856E0" w:rsidP="008068AB">
            <w:pPr>
              <w:keepLines/>
              <w:spacing w:line="240" w:lineRule="auto"/>
              <w:jc w:val="center"/>
              <w:rPr>
                <w:color w:val="000000"/>
              </w:rPr>
            </w:pPr>
            <w:r w:rsidRPr="001856E0">
              <w:rPr>
                <w:color w:val="000000"/>
              </w:rPr>
              <w:t>MF HERCC protocols</w:t>
            </w:r>
          </w:p>
        </w:tc>
      </w:tr>
      <w:tr w:rsidR="001856E0" w:rsidRPr="001856E0" w14:paraId="0FED01CE" w14:textId="77777777" w:rsidTr="008068AB">
        <w:trPr>
          <w:trHeight w:val="790"/>
        </w:trPr>
        <w:tc>
          <w:tcPr>
            <w:tcW w:w="2265" w:type="dxa"/>
            <w:tcBorders>
              <w:top w:val="nil"/>
              <w:left w:val="single" w:sz="8" w:space="0" w:color="auto"/>
              <w:bottom w:val="single" w:sz="8" w:space="0" w:color="auto"/>
              <w:right w:val="single" w:sz="8" w:space="0" w:color="auto"/>
            </w:tcBorders>
            <w:shd w:val="clear" w:color="auto" w:fill="auto"/>
            <w:vAlign w:val="center"/>
            <w:hideMark/>
          </w:tcPr>
          <w:p w14:paraId="21D71A3B" w14:textId="77777777" w:rsidR="001856E0" w:rsidRPr="001856E0" w:rsidRDefault="001856E0" w:rsidP="008068AB">
            <w:pPr>
              <w:keepLines/>
              <w:spacing w:line="240" w:lineRule="auto"/>
              <w:rPr>
                <w:b/>
                <w:bCs/>
                <w:color w:val="000000"/>
              </w:rPr>
            </w:pPr>
            <w:r w:rsidRPr="001856E0">
              <w:rPr>
                <w:b/>
                <w:bCs/>
                <w:color w:val="000000"/>
              </w:rPr>
              <w:t>Energy Modeling Software</w:t>
            </w:r>
          </w:p>
        </w:tc>
        <w:tc>
          <w:tcPr>
            <w:tcW w:w="2745" w:type="dxa"/>
            <w:gridSpan w:val="2"/>
            <w:tcBorders>
              <w:top w:val="single" w:sz="8" w:space="0" w:color="auto"/>
              <w:left w:val="nil"/>
              <w:bottom w:val="single" w:sz="8" w:space="0" w:color="auto"/>
              <w:right w:val="single" w:sz="8" w:space="0" w:color="000000"/>
            </w:tcBorders>
            <w:shd w:val="clear" w:color="auto" w:fill="auto"/>
            <w:vAlign w:val="center"/>
            <w:hideMark/>
          </w:tcPr>
          <w:p w14:paraId="54161D21" w14:textId="77777777" w:rsidR="001856E0" w:rsidRPr="001856E0" w:rsidRDefault="001856E0" w:rsidP="008068AB">
            <w:pPr>
              <w:keepLines/>
              <w:spacing w:line="240" w:lineRule="auto"/>
              <w:jc w:val="center"/>
              <w:rPr>
                <w:color w:val="000000"/>
              </w:rPr>
            </w:pPr>
            <w:proofErr w:type="spellStart"/>
            <w:r w:rsidRPr="001856E0">
              <w:rPr>
                <w:color w:val="000000"/>
              </w:rPr>
              <w:t>EnergyPro</w:t>
            </w:r>
            <w:proofErr w:type="spellEnd"/>
          </w:p>
        </w:tc>
        <w:tc>
          <w:tcPr>
            <w:tcW w:w="2565" w:type="dxa"/>
            <w:gridSpan w:val="2"/>
            <w:tcBorders>
              <w:top w:val="single" w:sz="8" w:space="0" w:color="auto"/>
              <w:left w:val="nil"/>
              <w:bottom w:val="single" w:sz="8" w:space="0" w:color="auto"/>
              <w:right w:val="single" w:sz="8" w:space="0" w:color="000000"/>
            </w:tcBorders>
            <w:shd w:val="clear" w:color="auto" w:fill="auto"/>
            <w:vAlign w:val="center"/>
            <w:hideMark/>
          </w:tcPr>
          <w:p w14:paraId="6F6850B4" w14:textId="77777777" w:rsidR="001856E0" w:rsidRPr="001856E0" w:rsidRDefault="001856E0" w:rsidP="008068AB">
            <w:pPr>
              <w:keepLines/>
              <w:spacing w:line="240" w:lineRule="auto"/>
              <w:jc w:val="center"/>
              <w:rPr>
                <w:color w:val="000000"/>
              </w:rPr>
            </w:pPr>
            <w:proofErr w:type="spellStart"/>
            <w:r w:rsidRPr="001856E0">
              <w:rPr>
                <w:color w:val="000000"/>
              </w:rPr>
              <w:t>EnergyPro</w:t>
            </w:r>
            <w:proofErr w:type="spellEnd"/>
            <w:r w:rsidRPr="001856E0">
              <w:rPr>
                <w:color w:val="000000"/>
              </w:rPr>
              <w:t xml:space="preserve"> Lite</w:t>
            </w:r>
          </w:p>
        </w:tc>
      </w:tr>
      <w:tr w:rsidR="001856E0" w:rsidRPr="001856E0" w14:paraId="693F1FD2" w14:textId="77777777" w:rsidTr="008068AB">
        <w:trPr>
          <w:trHeight w:val="340"/>
        </w:trPr>
        <w:tc>
          <w:tcPr>
            <w:tcW w:w="2265" w:type="dxa"/>
            <w:vMerge w:val="restart"/>
            <w:tcBorders>
              <w:top w:val="nil"/>
              <w:left w:val="single" w:sz="8" w:space="0" w:color="auto"/>
              <w:bottom w:val="single" w:sz="8" w:space="0" w:color="000000"/>
              <w:right w:val="single" w:sz="8" w:space="0" w:color="auto"/>
            </w:tcBorders>
            <w:shd w:val="clear" w:color="auto" w:fill="auto"/>
            <w:vAlign w:val="center"/>
            <w:hideMark/>
          </w:tcPr>
          <w:p w14:paraId="126AEB6B" w14:textId="77777777" w:rsidR="001856E0" w:rsidRPr="001856E0" w:rsidRDefault="001856E0" w:rsidP="008068AB">
            <w:pPr>
              <w:keepLines/>
              <w:spacing w:line="240" w:lineRule="auto"/>
              <w:rPr>
                <w:b/>
                <w:bCs/>
                <w:color w:val="000000"/>
              </w:rPr>
            </w:pPr>
            <w:r w:rsidRPr="001856E0">
              <w:rPr>
                <w:b/>
                <w:bCs/>
                <w:color w:val="000000"/>
              </w:rPr>
              <w:t>Assessment Incentive</w:t>
            </w:r>
          </w:p>
        </w:tc>
        <w:tc>
          <w:tcPr>
            <w:tcW w:w="1294" w:type="dxa"/>
            <w:tcBorders>
              <w:top w:val="nil"/>
              <w:left w:val="nil"/>
              <w:bottom w:val="single" w:sz="8" w:space="0" w:color="auto"/>
              <w:right w:val="single" w:sz="8" w:space="0" w:color="auto"/>
            </w:tcBorders>
            <w:shd w:val="clear" w:color="auto" w:fill="auto"/>
            <w:vAlign w:val="center"/>
            <w:hideMark/>
          </w:tcPr>
          <w:p w14:paraId="2AD62876" w14:textId="77777777" w:rsidR="001856E0" w:rsidRPr="001856E0" w:rsidRDefault="001856E0" w:rsidP="008068AB">
            <w:pPr>
              <w:keepLines/>
              <w:spacing w:line="240" w:lineRule="auto"/>
              <w:jc w:val="center"/>
              <w:rPr>
                <w:b/>
                <w:bCs/>
                <w:color w:val="000000"/>
              </w:rPr>
            </w:pPr>
            <w:r w:rsidRPr="001856E0">
              <w:rPr>
                <w:b/>
                <w:bCs/>
                <w:color w:val="000000"/>
              </w:rPr>
              <w:t># Units</w:t>
            </w:r>
          </w:p>
        </w:tc>
        <w:tc>
          <w:tcPr>
            <w:tcW w:w="1451" w:type="dxa"/>
            <w:tcBorders>
              <w:top w:val="nil"/>
              <w:left w:val="nil"/>
              <w:bottom w:val="single" w:sz="8" w:space="0" w:color="auto"/>
              <w:right w:val="single" w:sz="8" w:space="0" w:color="auto"/>
            </w:tcBorders>
            <w:shd w:val="clear" w:color="auto" w:fill="auto"/>
            <w:vAlign w:val="center"/>
            <w:hideMark/>
          </w:tcPr>
          <w:p w14:paraId="74DB005E" w14:textId="77777777" w:rsidR="001856E0" w:rsidRPr="001856E0" w:rsidRDefault="001856E0" w:rsidP="008068AB">
            <w:pPr>
              <w:keepLines/>
              <w:spacing w:line="240" w:lineRule="auto"/>
              <w:jc w:val="center"/>
              <w:rPr>
                <w:b/>
                <w:bCs/>
                <w:color w:val="000000"/>
              </w:rPr>
            </w:pPr>
            <w:r w:rsidRPr="001856E0">
              <w:rPr>
                <w:b/>
                <w:bCs/>
                <w:color w:val="000000"/>
              </w:rPr>
              <w:t>Incentive</w:t>
            </w:r>
          </w:p>
        </w:tc>
        <w:tc>
          <w:tcPr>
            <w:tcW w:w="2565"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10AA1D9F" w14:textId="77777777" w:rsidR="001856E0" w:rsidRPr="001856E0" w:rsidRDefault="001856E0" w:rsidP="008068AB">
            <w:pPr>
              <w:keepLines/>
              <w:spacing w:line="240" w:lineRule="auto"/>
              <w:jc w:val="center"/>
              <w:rPr>
                <w:color w:val="000000"/>
              </w:rPr>
            </w:pPr>
            <w:r w:rsidRPr="001856E0">
              <w:rPr>
                <w:color w:val="000000"/>
              </w:rPr>
              <w:t>Free site visit and technical assistance up to $5000 value</w:t>
            </w:r>
          </w:p>
        </w:tc>
      </w:tr>
      <w:tr w:rsidR="001856E0" w:rsidRPr="001856E0" w14:paraId="76372604" w14:textId="77777777" w:rsidTr="008068AB">
        <w:trPr>
          <w:trHeight w:val="315"/>
        </w:trPr>
        <w:tc>
          <w:tcPr>
            <w:tcW w:w="2265" w:type="dxa"/>
            <w:vMerge/>
            <w:tcBorders>
              <w:top w:val="nil"/>
              <w:left w:val="single" w:sz="8" w:space="0" w:color="auto"/>
              <w:bottom w:val="single" w:sz="8" w:space="0" w:color="000000"/>
              <w:right w:val="single" w:sz="8" w:space="0" w:color="auto"/>
            </w:tcBorders>
            <w:vAlign w:val="center"/>
            <w:hideMark/>
          </w:tcPr>
          <w:p w14:paraId="35B4AAEF" w14:textId="77777777" w:rsidR="001856E0" w:rsidRPr="001856E0" w:rsidRDefault="001856E0" w:rsidP="008068AB">
            <w:pPr>
              <w:keepLines/>
              <w:spacing w:line="240" w:lineRule="auto"/>
              <w:rPr>
                <w:b/>
                <w:bCs/>
                <w:color w:val="000000"/>
              </w:rPr>
            </w:pPr>
          </w:p>
        </w:tc>
        <w:tc>
          <w:tcPr>
            <w:tcW w:w="1294" w:type="dxa"/>
            <w:tcBorders>
              <w:top w:val="nil"/>
              <w:left w:val="nil"/>
              <w:bottom w:val="single" w:sz="8" w:space="0" w:color="auto"/>
              <w:right w:val="single" w:sz="8" w:space="0" w:color="auto"/>
            </w:tcBorders>
            <w:shd w:val="clear" w:color="auto" w:fill="auto"/>
            <w:vAlign w:val="center"/>
            <w:hideMark/>
          </w:tcPr>
          <w:p w14:paraId="6F0E5F06" w14:textId="64F608C6" w:rsidR="001856E0" w:rsidRPr="001856E0" w:rsidRDefault="001856E0" w:rsidP="008068AB">
            <w:pPr>
              <w:keepLines/>
              <w:spacing w:line="240" w:lineRule="auto"/>
              <w:jc w:val="center"/>
              <w:rPr>
                <w:color w:val="000000"/>
              </w:rPr>
            </w:pPr>
            <w:r>
              <w:rPr>
                <w:color w:val="000000"/>
              </w:rPr>
              <w:t>3</w:t>
            </w:r>
            <w:r w:rsidRPr="001856E0">
              <w:rPr>
                <w:color w:val="000000"/>
              </w:rPr>
              <w:t>-49</w:t>
            </w:r>
          </w:p>
        </w:tc>
        <w:tc>
          <w:tcPr>
            <w:tcW w:w="1451" w:type="dxa"/>
            <w:tcBorders>
              <w:top w:val="nil"/>
              <w:left w:val="nil"/>
              <w:bottom w:val="single" w:sz="8" w:space="0" w:color="auto"/>
              <w:right w:val="single" w:sz="8" w:space="0" w:color="auto"/>
            </w:tcBorders>
            <w:shd w:val="clear" w:color="auto" w:fill="auto"/>
            <w:vAlign w:val="center"/>
            <w:hideMark/>
          </w:tcPr>
          <w:p w14:paraId="15605EF8" w14:textId="77777777" w:rsidR="001856E0" w:rsidRPr="001856E0" w:rsidRDefault="001856E0" w:rsidP="008068AB">
            <w:pPr>
              <w:keepLines/>
              <w:spacing w:line="240" w:lineRule="auto"/>
              <w:jc w:val="center"/>
              <w:rPr>
                <w:color w:val="000000"/>
              </w:rPr>
            </w:pPr>
            <w:r w:rsidRPr="001856E0">
              <w:rPr>
                <w:color w:val="000000"/>
              </w:rPr>
              <w:t xml:space="preserve">$5,000 </w:t>
            </w:r>
          </w:p>
        </w:tc>
        <w:tc>
          <w:tcPr>
            <w:tcW w:w="2565" w:type="dxa"/>
            <w:gridSpan w:val="2"/>
            <w:vMerge/>
            <w:tcBorders>
              <w:top w:val="nil"/>
              <w:left w:val="nil"/>
              <w:bottom w:val="single" w:sz="8" w:space="0" w:color="auto"/>
              <w:right w:val="single" w:sz="8" w:space="0" w:color="auto"/>
            </w:tcBorders>
            <w:vAlign w:val="center"/>
            <w:hideMark/>
          </w:tcPr>
          <w:p w14:paraId="2D281840" w14:textId="77777777" w:rsidR="001856E0" w:rsidRPr="001856E0" w:rsidRDefault="001856E0" w:rsidP="008068AB">
            <w:pPr>
              <w:keepLines/>
              <w:spacing w:line="240" w:lineRule="auto"/>
              <w:rPr>
                <w:color w:val="000000"/>
              </w:rPr>
            </w:pPr>
          </w:p>
        </w:tc>
      </w:tr>
      <w:tr w:rsidR="001856E0" w:rsidRPr="001856E0" w14:paraId="00277C57" w14:textId="77777777" w:rsidTr="008068AB">
        <w:trPr>
          <w:trHeight w:val="315"/>
        </w:trPr>
        <w:tc>
          <w:tcPr>
            <w:tcW w:w="2265" w:type="dxa"/>
            <w:vMerge/>
            <w:tcBorders>
              <w:top w:val="nil"/>
              <w:left w:val="single" w:sz="8" w:space="0" w:color="auto"/>
              <w:bottom w:val="single" w:sz="8" w:space="0" w:color="000000"/>
              <w:right w:val="single" w:sz="8" w:space="0" w:color="auto"/>
            </w:tcBorders>
            <w:vAlign w:val="center"/>
            <w:hideMark/>
          </w:tcPr>
          <w:p w14:paraId="3CBA4E55" w14:textId="77777777" w:rsidR="001856E0" w:rsidRPr="001856E0" w:rsidRDefault="001856E0" w:rsidP="008068AB">
            <w:pPr>
              <w:keepLines/>
              <w:spacing w:line="240" w:lineRule="auto"/>
              <w:rPr>
                <w:b/>
                <w:bCs/>
                <w:color w:val="000000"/>
              </w:rPr>
            </w:pPr>
          </w:p>
        </w:tc>
        <w:tc>
          <w:tcPr>
            <w:tcW w:w="1294" w:type="dxa"/>
            <w:tcBorders>
              <w:top w:val="nil"/>
              <w:left w:val="nil"/>
              <w:bottom w:val="single" w:sz="8" w:space="0" w:color="auto"/>
              <w:right w:val="single" w:sz="8" w:space="0" w:color="auto"/>
            </w:tcBorders>
            <w:shd w:val="clear" w:color="auto" w:fill="auto"/>
            <w:vAlign w:val="center"/>
            <w:hideMark/>
          </w:tcPr>
          <w:p w14:paraId="525BD57D" w14:textId="77777777" w:rsidR="001856E0" w:rsidRPr="001856E0" w:rsidRDefault="001856E0" w:rsidP="008068AB">
            <w:pPr>
              <w:keepLines/>
              <w:spacing w:line="240" w:lineRule="auto"/>
              <w:jc w:val="center"/>
              <w:rPr>
                <w:color w:val="000000"/>
              </w:rPr>
            </w:pPr>
            <w:r w:rsidRPr="001856E0">
              <w:rPr>
                <w:color w:val="000000"/>
              </w:rPr>
              <w:t>50-100</w:t>
            </w:r>
          </w:p>
        </w:tc>
        <w:tc>
          <w:tcPr>
            <w:tcW w:w="1451" w:type="dxa"/>
            <w:tcBorders>
              <w:top w:val="nil"/>
              <w:left w:val="nil"/>
              <w:bottom w:val="single" w:sz="8" w:space="0" w:color="auto"/>
              <w:right w:val="single" w:sz="8" w:space="0" w:color="auto"/>
            </w:tcBorders>
            <w:shd w:val="clear" w:color="auto" w:fill="auto"/>
            <w:vAlign w:val="center"/>
            <w:hideMark/>
          </w:tcPr>
          <w:p w14:paraId="281A089C" w14:textId="77777777" w:rsidR="001856E0" w:rsidRPr="001856E0" w:rsidRDefault="001856E0" w:rsidP="008068AB">
            <w:pPr>
              <w:keepLines/>
              <w:spacing w:line="240" w:lineRule="auto"/>
              <w:jc w:val="center"/>
              <w:rPr>
                <w:color w:val="000000"/>
              </w:rPr>
            </w:pPr>
            <w:r w:rsidRPr="001856E0">
              <w:rPr>
                <w:color w:val="000000"/>
              </w:rPr>
              <w:t xml:space="preserve">$10,000 </w:t>
            </w:r>
          </w:p>
        </w:tc>
        <w:tc>
          <w:tcPr>
            <w:tcW w:w="2565" w:type="dxa"/>
            <w:gridSpan w:val="2"/>
            <w:vMerge/>
            <w:tcBorders>
              <w:top w:val="nil"/>
              <w:left w:val="nil"/>
              <w:bottom w:val="single" w:sz="8" w:space="0" w:color="auto"/>
              <w:right w:val="single" w:sz="8" w:space="0" w:color="auto"/>
            </w:tcBorders>
            <w:vAlign w:val="center"/>
            <w:hideMark/>
          </w:tcPr>
          <w:p w14:paraId="09C9073E" w14:textId="77777777" w:rsidR="001856E0" w:rsidRPr="001856E0" w:rsidRDefault="001856E0" w:rsidP="008068AB">
            <w:pPr>
              <w:keepLines/>
              <w:spacing w:line="240" w:lineRule="auto"/>
              <w:rPr>
                <w:color w:val="000000"/>
              </w:rPr>
            </w:pPr>
          </w:p>
        </w:tc>
      </w:tr>
      <w:tr w:rsidR="001856E0" w:rsidRPr="001856E0" w14:paraId="7D31A7F0" w14:textId="77777777" w:rsidTr="008068AB">
        <w:trPr>
          <w:trHeight w:val="745"/>
        </w:trPr>
        <w:tc>
          <w:tcPr>
            <w:tcW w:w="2265" w:type="dxa"/>
            <w:vMerge/>
            <w:tcBorders>
              <w:top w:val="nil"/>
              <w:left w:val="single" w:sz="8" w:space="0" w:color="auto"/>
              <w:bottom w:val="single" w:sz="8" w:space="0" w:color="000000"/>
              <w:right w:val="single" w:sz="8" w:space="0" w:color="auto"/>
            </w:tcBorders>
            <w:vAlign w:val="center"/>
            <w:hideMark/>
          </w:tcPr>
          <w:p w14:paraId="05D9CC88" w14:textId="77777777" w:rsidR="001856E0" w:rsidRPr="001856E0" w:rsidRDefault="001856E0" w:rsidP="008068AB">
            <w:pPr>
              <w:keepLines/>
              <w:spacing w:line="240" w:lineRule="auto"/>
              <w:rPr>
                <w:b/>
                <w:bCs/>
                <w:color w:val="000000"/>
              </w:rPr>
            </w:pPr>
          </w:p>
        </w:tc>
        <w:tc>
          <w:tcPr>
            <w:tcW w:w="1294" w:type="dxa"/>
            <w:tcBorders>
              <w:top w:val="nil"/>
              <w:left w:val="nil"/>
              <w:bottom w:val="single" w:sz="8" w:space="0" w:color="auto"/>
              <w:right w:val="single" w:sz="8" w:space="0" w:color="auto"/>
            </w:tcBorders>
            <w:shd w:val="clear" w:color="auto" w:fill="auto"/>
            <w:vAlign w:val="center"/>
            <w:hideMark/>
          </w:tcPr>
          <w:p w14:paraId="0F88365B" w14:textId="77777777" w:rsidR="001856E0" w:rsidRPr="001856E0" w:rsidRDefault="001856E0" w:rsidP="008068AB">
            <w:pPr>
              <w:keepLines/>
              <w:spacing w:line="240" w:lineRule="auto"/>
              <w:jc w:val="center"/>
              <w:rPr>
                <w:color w:val="000000"/>
              </w:rPr>
            </w:pPr>
            <w:r w:rsidRPr="001856E0">
              <w:rPr>
                <w:color w:val="000000"/>
              </w:rPr>
              <w:t>100+</w:t>
            </w:r>
          </w:p>
        </w:tc>
        <w:tc>
          <w:tcPr>
            <w:tcW w:w="1451" w:type="dxa"/>
            <w:tcBorders>
              <w:top w:val="nil"/>
              <w:left w:val="nil"/>
              <w:bottom w:val="single" w:sz="8" w:space="0" w:color="auto"/>
              <w:right w:val="single" w:sz="8" w:space="0" w:color="auto"/>
            </w:tcBorders>
            <w:shd w:val="clear" w:color="auto" w:fill="auto"/>
            <w:vAlign w:val="center"/>
            <w:hideMark/>
          </w:tcPr>
          <w:p w14:paraId="779A04B4" w14:textId="77777777" w:rsidR="001856E0" w:rsidRPr="001856E0" w:rsidRDefault="001856E0" w:rsidP="008068AB">
            <w:pPr>
              <w:keepLines/>
              <w:spacing w:line="240" w:lineRule="auto"/>
              <w:jc w:val="center"/>
              <w:rPr>
                <w:color w:val="000000"/>
              </w:rPr>
            </w:pPr>
            <w:r w:rsidRPr="001856E0">
              <w:rPr>
                <w:color w:val="000000"/>
              </w:rPr>
              <w:t>$20/Unit Increment</w:t>
            </w:r>
          </w:p>
        </w:tc>
        <w:tc>
          <w:tcPr>
            <w:tcW w:w="2565" w:type="dxa"/>
            <w:gridSpan w:val="2"/>
            <w:vMerge/>
            <w:tcBorders>
              <w:top w:val="nil"/>
              <w:left w:val="nil"/>
              <w:bottom w:val="single" w:sz="8" w:space="0" w:color="auto"/>
              <w:right w:val="single" w:sz="8" w:space="0" w:color="auto"/>
            </w:tcBorders>
            <w:vAlign w:val="center"/>
            <w:hideMark/>
          </w:tcPr>
          <w:p w14:paraId="6AB35786" w14:textId="77777777" w:rsidR="001856E0" w:rsidRPr="001856E0" w:rsidRDefault="001856E0" w:rsidP="008068AB">
            <w:pPr>
              <w:keepLines/>
              <w:spacing w:line="240" w:lineRule="auto"/>
              <w:rPr>
                <w:color w:val="000000"/>
              </w:rPr>
            </w:pPr>
          </w:p>
        </w:tc>
      </w:tr>
      <w:tr w:rsidR="001856E0" w:rsidRPr="001856E0" w14:paraId="49B39525" w14:textId="77777777" w:rsidTr="008068AB">
        <w:trPr>
          <w:trHeight w:val="615"/>
        </w:trPr>
        <w:tc>
          <w:tcPr>
            <w:tcW w:w="2265" w:type="dxa"/>
            <w:vMerge w:val="restart"/>
            <w:tcBorders>
              <w:top w:val="nil"/>
              <w:left w:val="single" w:sz="8" w:space="0" w:color="auto"/>
              <w:bottom w:val="single" w:sz="8" w:space="0" w:color="000000"/>
              <w:right w:val="single" w:sz="8" w:space="0" w:color="auto"/>
            </w:tcBorders>
            <w:shd w:val="clear" w:color="auto" w:fill="auto"/>
            <w:vAlign w:val="center"/>
            <w:hideMark/>
          </w:tcPr>
          <w:p w14:paraId="7504907B" w14:textId="77777777" w:rsidR="001856E0" w:rsidRPr="001856E0" w:rsidRDefault="001856E0" w:rsidP="008068AB">
            <w:pPr>
              <w:keepLines/>
              <w:spacing w:line="240" w:lineRule="auto"/>
              <w:rPr>
                <w:b/>
                <w:bCs/>
                <w:color w:val="000000"/>
              </w:rPr>
            </w:pPr>
            <w:r w:rsidRPr="001856E0">
              <w:rPr>
                <w:b/>
                <w:bCs/>
                <w:color w:val="000000"/>
              </w:rPr>
              <w:t>Improvement Incentive</w:t>
            </w:r>
          </w:p>
        </w:tc>
        <w:tc>
          <w:tcPr>
            <w:tcW w:w="1294" w:type="dxa"/>
            <w:tcBorders>
              <w:top w:val="nil"/>
              <w:left w:val="nil"/>
              <w:bottom w:val="single" w:sz="8" w:space="0" w:color="auto"/>
              <w:right w:val="single" w:sz="8" w:space="0" w:color="auto"/>
            </w:tcBorders>
            <w:shd w:val="clear" w:color="auto" w:fill="auto"/>
            <w:vAlign w:val="center"/>
            <w:hideMark/>
          </w:tcPr>
          <w:p w14:paraId="4B27A6E9" w14:textId="77777777" w:rsidR="001856E0" w:rsidRPr="001856E0" w:rsidRDefault="001856E0" w:rsidP="008068AB">
            <w:pPr>
              <w:keepLines/>
              <w:spacing w:line="240" w:lineRule="auto"/>
              <w:jc w:val="center"/>
              <w:rPr>
                <w:b/>
                <w:bCs/>
                <w:color w:val="000000"/>
              </w:rPr>
            </w:pPr>
            <w:r w:rsidRPr="001856E0">
              <w:rPr>
                <w:b/>
                <w:bCs/>
                <w:color w:val="000000"/>
              </w:rPr>
              <w:t>Improvement</w:t>
            </w:r>
          </w:p>
        </w:tc>
        <w:tc>
          <w:tcPr>
            <w:tcW w:w="1451" w:type="dxa"/>
            <w:tcBorders>
              <w:top w:val="nil"/>
              <w:left w:val="nil"/>
              <w:bottom w:val="single" w:sz="8" w:space="0" w:color="auto"/>
              <w:right w:val="single" w:sz="8" w:space="0" w:color="auto"/>
            </w:tcBorders>
            <w:shd w:val="clear" w:color="auto" w:fill="auto"/>
            <w:vAlign w:val="center"/>
            <w:hideMark/>
          </w:tcPr>
          <w:p w14:paraId="4B3B0598" w14:textId="77777777" w:rsidR="001856E0" w:rsidRPr="001856E0" w:rsidRDefault="001856E0" w:rsidP="008068AB">
            <w:pPr>
              <w:keepLines/>
              <w:spacing w:line="240" w:lineRule="auto"/>
              <w:jc w:val="center"/>
              <w:rPr>
                <w:b/>
                <w:bCs/>
                <w:color w:val="000000"/>
              </w:rPr>
            </w:pPr>
            <w:r w:rsidRPr="001856E0">
              <w:rPr>
                <w:b/>
                <w:bCs/>
                <w:color w:val="000000"/>
              </w:rPr>
              <w:t>$/Unit</w:t>
            </w:r>
          </w:p>
        </w:tc>
        <w:tc>
          <w:tcPr>
            <w:tcW w:w="1468" w:type="dxa"/>
            <w:tcBorders>
              <w:top w:val="nil"/>
              <w:left w:val="nil"/>
              <w:bottom w:val="single" w:sz="8" w:space="0" w:color="auto"/>
              <w:right w:val="single" w:sz="8" w:space="0" w:color="auto"/>
            </w:tcBorders>
            <w:shd w:val="clear" w:color="auto" w:fill="auto"/>
            <w:vAlign w:val="center"/>
            <w:hideMark/>
          </w:tcPr>
          <w:p w14:paraId="325286F7" w14:textId="77777777" w:rsidR="001856E0" w:rsidRPr="001856E0" w:rsidRDefault="001856E0" w:rsidP="008068AB">
            <w:pPr>
              <w:keepLines/>
              <w:spacing w:line="240" w:lineRule="auto"/>
              <w:jc w:val="center"/>
              <w:rPr>
                <w:b/>
                <w:bCs/>
                <w:color w:val="000000"/>
              </w:rPr>
            </w:pPr>
            <w:r w:rsidRPr="001856E0">
              <w:rPr>
                <w:b/>
                <w:bCs/>
                <w:color w:val="000000"/>
              </w:rPr>
              <w:t>Improvement</w:t>
            </w:r>
          </w:p>
        </w:tc>
        <w:tc>
          <w:tcPr>
            <w:tcW w:w="1097" w:type="dxa"/>
            <w:tcBorders>
              <w:top w:val="nil"/>
              <w:left w:val="nil"/>
              <w:bottom w:val="single" w:sz="8" w:space="0" w:color="auto"/>
              <w:right w:val="single" w:sz="8" w:space="0" w:color="auto"/>
            </w:tcBorders>
            <w:shd w:val="clear" w:color="auto" w:fill="auto"/>
            <w:vAlign w:val="center"/>
            <w:hideMark/>
          </w:tcPr>
          <w:p w14:paraId="2310770B" w14:textId="77777777" w:rsidR="001856E0" w:rsidRPr="001856E0" w:rsidRDefault="001856E0" w:rsidP="008068AB">
            <w:pPr>
              <w:keepLines/>
              <w:spacing w:line="240" w:lineRule="auto"/>
              <w:jc w:val="center"/>
              <w:rPr>
                <w:b/>
                <w:bCs/>
                <w:color w:val="000000"/>
              </w:rPr>
            </w:pPr>
            <w:r w:rsidRPr="001856E0">
              <w:rPr>
                <w:b/>
                <w:bCs/>
                <w:color w:val="000000"/>
              </w:rPr>
              <w:t>$/Unit</w:t>
            </w:r>
          </w:p>
        </w:tc>
      </w:tr>
      <w:tr w:rsidR="001856E0" w:rsidRPr="001856E0" w14:paraId="29969987" w14:textId="77777777" w:rsidTr="008068AB">
        <w:trPr>
          <w:trHeight w:val="315"/>
        </w:trPr>
        <w:tc>
          <w:tcPr>
            <w:tcW w:w="2265" w:type="dxa"/>
            <w:vMerge/>
            <w:tcBorders>
              <w:top w:val="nil"/>
              <w:left w:val="single" w:sz="8" w:space="0" w:color="auto"/>
              <w:bottom w:val="single" w:sz="8" w:space="0" w:color="000000"/>
              <w:right w:val="single" w:sz="8" w:space="0" w:color="auto"/>
            </w:tcBorders>
            <w:vAlign w:val="center"/>
            <w:hideMark/>
          </w:tcPr>
          <w:p w14:paraId="096D9678" w14:textId="77777777" w:rsidR="001856E0" w:rsidRPr="001856E0" w:rsidRDefault="001856E0" w:rsidP="008068AB">
            <w:pPr>
              <w:keepLines/>
              <w:spacing w:line="240" w:lineRule="auto"/>
              <w:rPr>
                <w:b/>
                <w:bCs/>
                <w:color w:val="000000"/>
              </w:rPr>
            </w:pPr>
          </w:p>
        </w:tc>
        <w:tc>
          <w:tcPr>
            <w:tcW w:w="1294" w:type="dxa"/>
            <w:tcBorders>
              <w:top w:val="nil"/>
              <w:left w:val="nil"/>
              <w:bottom w:val="single" w:sz="8" w:space="0" w:color="auto"/>
              <w:right w:val="single" w:sz="8" w:space="0" w:color="auto"/>
            </w:tcBorders>
            <w:shd w:val="clear" w:color="auto" w:fill="auto"/>
            <w:vAlign w:val="center"/>
            <w:hideMark/>
          </w:tcPr>
          <w:p w14:paraId="4C322DE5" w14:textId="77777777" w:rsidR="001856E0" w:rsidRPr="001856E0" w:rsidRDefault="001856E0" w:rsidP="008068AB">
            <w:pPr>
              <w:keepLines/>
              <w:spacing w:line="240" w:lineRule="auto"/>
              <w:jc w:val="center"/>
              <w:rPr>
                <w:color w:val="000000"/>
              </w:rPr>
            </w:pPr>
            <w:r w:rsidRPr="001856E0">
              <w:rPr>
                <w:color w:val="000000"/>
              </w:rPr>
              <w:t>10%</w:t>
            </w:r>
          </w:p>
        </w:tc>
        <w:tc>
          <w:tcPr>
            <w:tcW w:w="1451" w:type="dxa"/>
            <w:tcBorders>
              <w:top w:val="nil"/>
              <w:left w:val="nil"/>
              <w:bottom w:val="single" w:sz="8" w:space="0" w:color="auto"/>
              <w:right w:val="single" w:sz="8" w:space="0" w:color="auto"/>
            </w:tcBorders>
            <w:shd w:val="clear" w:color="auto" w:fill="auto"/>
            <w:vAlign w:val="center"/>
            <w:hideMark/>
          </w:tcPr>
          <w:p w14:paraId="3C177BCA" w14:textId="77777777" w:rsidR="001856E0" w:rsidRPr="001856E0" w:rsidRDefault="001856E0" w:rsidP="008068AB">
            <w:pPr>
              <w:keepLines/>
              <w:spacing w:line="240" w:lineRule="auto"/>
              <w:jc w:val="center"/>
              <w:rPr>
                <w:color w:val="000000"/>
              </w:rPr>
            </w:pPr>
            <w:r w:rsidRPr="001856E0">
              <w:rPr>
                <w:color w:val="000000"/>
              </w:rPr>
              <w:t xml:space="preserve">$550 </w:t>
            </w:r>
          </w:p>
        </w:tc>
        <w:tc>
          <w:tcPr>
            <w:tcW w:w="1468" w:type="dxa"/>
            <w:tcBorders>
              <w:top w:val="nil"/>
              <w:left w:val="nil"/>
              <w:bottom w:val="single" w:sz="8" w:space="0" w:color="auto"/>
              <w:right w:val="single" w:sz="8" w:space="0" w:color="auto"/>
            </w:tcBorders>
            <w:shd w:val="clear" w:color="auto" w:fill="auto"/>
            <w:vAlign w:val="center"/>
            <w:hideMark/>
          </w:tcPr>
          <w:p w14:paraId="6BF4C6CD" w14:textId="77777777" w:rsidR="001856E0" w:rsidRPr="001856E0" w:rsidRDefault="001856E0" w:rsidP="008068AB">
            <w:pPr>
              <w:keepLines/>
              <w:spacing w:line="240" w:lineRule="auto"/>
              <w:jc w:val="center"/>
              <w:rPr>
                <w:color w:val="000000"/>
              </w:rPr>
            </w:pPr>
            <w:r w:rsidRPr="001856E0">
              <w:rPr>
                <w:color w:val="000000"/>
              </w:rPr>
              <w:t>10%</w:t>
            </w:r>
          </w:p>
        </w:tc>
        <w:tc>
          <w:tcPr>
            <w:tcW w:w="1097" w:type="dxa"/>
            <w:tcBorders>
              <w:top w:val="nil"/>
              <w:left w:val="nil"/>
              <w:bottom w:val="single" w:sz="8" w:space="0" w:color="auto"/>
              <w:right w:val="single" w:sz="8" w:space="0" w:color="auto"/>
            </w:tcBorders>
            <w:shd w:val="clear" w:color="auto" w:fill="auto"/>
            <w:vAlign w:val="center"/>
            <w:hideMark/>
          </w:tcPr>
          <w:p w14:paraId="287B9F2F" w14:textId="77777777" w:rsidR="001856E0" w:rsidRPr="001856E0" w:rsidRDefault="001856E0" w:rsidP="008068AB">
            <w:pPr>
              <w:keepLines/>
              <w:spacing w:line="240" w:lineRule="auto"/>
              <w:jc w:val="center"/>
              <w:rPr>
                <w:color w:val="000000"/>
              </w:rPr>
            </w:pPr>
            <w:r w:rsidRPr="001856E0">
              <w:rPr>
                <w:color w:val="000000"/>
              </w:rPr>
              <w:t xml:space="preserve">$750 </w:t>
            </w:r>
          </w:p>
        </w:tc>
      </w:tr>
      <w:tr w:rsidR="001856E0" w:rsidRPr="001856E0" w14:paraId="3F7F129A" w14:textId="77777777" w:rsidTr="008068AB">
        <w:trPr>
          <w:trHeight w:val="315"/>
        </w:trPr>
        <w:tc>
          <w:tcPr>
            <w:tcW w:w="2265" w:type="dxa"/>
            <w:vMerge/>
            <w:tcBorders>
              <w:top w:val="nil"/>
              <w:left w:val="single" w:sz="8" w:space="0" w:color="auto"/>
              <w:bottom w:val="single" w:sz="8" w:space="0" w:color="000000"/>
              <w:right w:val="single" w:sz="8" w:space="0" w:color="auto"/>
            </w:tcBorders>
            <w:vAlign w:val="center"/>
            <w:hideMark/>
          </w:tcPr>
          <w:p w14:paraId="118CA683" w14:textId="77777777" w:rsidR="001856E0" w:rsidRPr="001856E0" w:rsidRDefault="001856E0" w:rsidP="008068AB">
            <w:pPr>
              <w:keepLines/>
              <w:spacing w:line="240" w:lineRule="auto"/>
              <w:rPr>
                <w:b/>
                <w:bCs/>
                <w:color w:val="000000"/>
              </w:rPr>
            </w:pPr>
          </w:p>
        </w:tc>
        <w:tc>
          <w:tcPr>
            <w:tcW w:w="1294" w:type="dxa"/>
            <w:tcBorders>
              <w:top w:val="nil"/>
              <w:left w:val="nil"/>
              <w:bottom w:val="single" w:sz="8" w:space="0" w:color="auto"/>
              <w:right w:val="single" w:sz="8" w:space="0" w:color="auto"/>
            </w:tcBorders>
            <w:shd w:val="clear" w:color="auto" w:fill="auto"/>
            <w:vAlign w:val="center"/>
            <w:hideMark/>
          </w:tcPr>
          <w:p w14:paraId="5BDCBA97" w14:textId="77777777" w:rsidR="001856E0" w:rsidRPr="001856E0" w:rsidRDefault="001856E0" w:rsidP="008068AB">
            <w:pPr>
              <w:keepLines/>
              <w:spacing w:line="240" w:lineRule="auto"/>
              <w:jc w:val="center"/>
              <w:rPr>
                <w:color w:val="000000"/>
              </w:rPr>
            </w:pPr>
            <w:r w:rsidRPr="001856E0">
              <w:rPr>
                <w:color w:val="000000"/>
              </w:rPr>
              <w:t>15%</w:t>
            </w:r>
          </w:p>
        </w:tc>
        <w:tc>
          <w:tcPr>
            <w:tcW w:w="1451" w:type="dxa"/>
            <w:tcBorders>
              <w:top w:val="nil"/>
              <w:left w:val="nil"/>
              <w:bottom w:val="single" w:sz="8" w:space="0" w:color="auto"/>
              <w:right w:val="single" w:sz="8" w:space="0" w:color="auto"/>
            </w:tcBorders>
            <w:shd w:val="clear" w:color="auto" w:fill="auto"/>
            <w:vAlign w:val="center"/>
            <w:hideMark/>
          </w:tcPr>
          <w:p w14:paraId="3DEF2C3D" w14:textId="77777777" w:rsidR="001856E0" w:rsidRPr="001856E0" w:rsidRDefault="001856E0" w:rsidP="008068AB">
            <w:pPr>
              <w:keepLines/>
              <w:spacing w:line="240" w:lineRule="auto"/>
              <w:jc w:val="center"/>
              <w:rPr>
                <w:color w:val="000000"/>
              </w:rPr>
            </w:pPr>
            <w:r w:rsidRPr="001856E0">
              <w:rPr>
                <w:color w:val="000000"/>
              </w:rPr>
              <w:t xml:space="preserve">$625 </w:t>
            </w:r>
          </w:p>
        </w:tc>
        <w:tc>
          <w:tcPr>
            <w:tcW w:w="2565" w:type="dxa"/>
            <w:gridSpan w:val="2"/>
            <w:tcBorders>
              <w:top w:val="single" w:sz="8" w:space="0" w:color="auto"/>
              <w:left w:val="nil"/>
              <w:bottom w:val="nil"/>
              <w:right w:val="single" w:sz="8" w:space="0" w:color="000000"/>
            </w:tcBorders>
            <w:shd w:val="clear" w:color="auto" w:fill="auto"/>
            <w:vAlign w:val="center"/>
            <w:hideMark/>
          </w:tcPr>
          <w:p w14:paraId="1B8103E4" w14:textId="77777777" w:rsidR="001856E0" w:rsidRPr="001856E0" w:rsidRDefault="001856E0" w:rsidP="008068AB">
            <w:pPr>
              <w:keepLines/>
              <w:spacing w:line="240" w:lineRule="auto"/>
              <w:rPr>
                <w:color w:val="000000"/>
              </w:rPr>
            </w:pPr>
            <w:r w:rsidRPr="001856E0">
              <w:rPr>
                <w:color w:val="000000"/>
              </w:rPr>
              <w:t> </w:t>
            </w:r>
          </w:p>
        </w:tc>
      </w:tr>
      <w:tr w:rsidR="001856E0" w:rsidRPr="001856E0" w14:paraId="7F3E86A1" w14:textId="77777777" w:rsidTr="008068AB">
        <w:trPr>
          <w:trHeight w:val="315"/>
        </w:trPr>
        <w:tc>
          <w:tcPr>
            <w:tcW w:w="2265" w:type="dxa"/>
            <w:vMerge/>
            <w:tcBorders>
              <w:top w:val="nil"/>
              <w:left w:val="single" w:sz="8" w:space="0" w:color="auto"/>
              <w:bottom w:val="single" w:sz="8" w:space="0" w:color="000000"/>
              <w:right w:val="single" w:sz="8" w:space="0" w:color="auto"/>
            </w:tcBorders>
            <w:vAlign w:val="center"/>
            <w:hideMark/>
          </w:tcPr>
          <w:p w14:paraId="08F97072" w14:textId="77777777" w:rsidR="001856E0" w:rsidRPr="001856E0" w:rsidRDefault="001856E0" w:rsidP="008068AB">
            <w:pPr>
              <w:keepLines/>
              <w:spacing w:line="240" w:lineRule="auto"/>
              <w:rPr>
                <w:b/>
                <w:bCs/>
                <w:color w:val="000000"/>
              </w:rPr>
            </w:pPr>
          </w:p>
        </w:tc>
        <w:tc>
          <w:tcPr>
            <w:tcW w:w="1294" w:type="dxa"/>
            <w:tcBorders>
              <w:top w:val="nil"/>
              <w:left w:val="nil"/>
              <w:bottom w:val="single" w:sz="8" w:space="0" w:color="auto"/>
              <w:right w:val="single" w:sz="8" w:space="0" w:color="auto"/>
            </w:tcBorders>
            <w:shd w:val="clear" w:color="auto" w:fill="auto"/>
            <w:vAlign w:val="center"/>
            <w:hideMark/>
          </w:tcPr>
          <w:p w14:paraId="645B785D" w14:textId="77777777" w:rsidR="001856E0" w:rsidRPr="001856E0" w:rsidRDefault="001856E0" w:rsidP="008068AB">
            <w:pPr>
              <w:keepLines/>
              <w:spacing w:line="240" w:lineRule="auto"/>
              <w:jc w:val="center"/>
              <w:rPr>
                <w:color w:val="000000"/>
              </w:rPr>
            </w:pPr>
            <w:r w:rsidRPr="001856E0">
              <w:rPr>
                <w:color w:val="000000"/>
              </w:rPr>
              <w:t>20%</w:t>
            </w:r>
          </w:p>
        </w:tc>
        <w:tc>
          <w:tcPr>
            <w:tcW w:w="1451" w:type="dxa"/>
            <w:tcBorders>
              <w:top w:val="nil"/>
              <w:left w:val="nil"/>
              <w:bottom w:val="single" w:sz="8" w:space="0" w:color="auto"/>
              <w:right w:val="single" w:sz="8" w:space="0" w:color="auto"/>
            </w:tcBorders>
            <w:shd w:val="clear" w:color="auto" w:fill="auto"/>
            <w:vAlign w:val="center"/>
            <w:hideMark/>
          </w:tcPr>
          <w:p w14:paraId="24257568" w14:textId="77777777" w:rsidR="001856E0" w:rsidRPr="001856E0" w:rsidRDefault="001856E0" w:rsidP="008068AB">
            <w:pPr>
              <w:keepLines/>
              <w:spacing w:line="240" w:lineRule="auto"/>
              <w:jc w:val="center"/>
              <w:rPr>
                <w:color w:val="000000"/>
              </w:rPr>
            </w:pPr>
            <w:r w:rsidRPr="001856E0">
              <w:rPr>
                <w:color w:val="000000"/>
              </w:rPr>
              <w:t xml:space="preserve">$800 </w:t>
            </w:r>
          </w:p>
        </w:tc>
        <w:tc>
          <w:tcPr>
            <w:tcW w:w="2565" w:type="dxa"/>
            <w:gridSpan w:val="2"/>
            <w:tcBorders>
              <w:top w:val="nil"/>
              <w:left w:val="nil"/>
              <w:bottom w:val="nil"/>
              <w:right w:val="single" w:sz="8" w:space="0" w:color="000000"/>
            </w:tcBorders>
            <w:shd w:val="clear" w:color="auto" w:fill="auto"/>
            <w:vAlign w:val="center"/>
            <w:hideMark/>
          </w:tcPr>
          <w:p w14:paraId="4C15E6A8" w14:textId="77777777" w:rsidR="001856E0" w:rsidRPr="001856E0" w:rsidRDefault="001856E0" w:rsidP="008068AB">
            <w:pPr>
              <w:keepLines/>
              <w:spacing w:line="240" w:lineRule="auto"/>
              <w:rPr>
                <w:color w:val="000000"/>
              </w:rPr>
            </w:pPr>
            <w:r w:rsidRPr="001856E0">
              <w:rPr>
                <w:color w:val="000000"/>
              </w:rPr>
              <w:t> </w:t>
            </w:r>
          </w:p>
        </w:tc>
      </w:tr>
      <w:tr w:rsidR="001856E0" w:rsidRPr="001856E0" w14:paraId="324BE34E" w14:textId="77777777" w:rsidTr="008068AB">
        <w:trPr>
          <w:trHeight w:val="315"/>
        </w:trPr>
        <w:tc>
          <w:tcPr>
            <w:tcW w:w="2265" w:type="dxa"/>
            <w:vMerge/>
            <w:tcBorders>
              <w:top w:val="nil"/>
              <w:left w:val="single" w:sz="8" w:space="0" w:color="auto"/>
              <w:bottom w:val="single" w:sz="8" w:space="0" w:color="000000"/>
              <w:right w:val="single" w:sz="8" w:space="0" w:color="auto"/>
            </w:tcBorders>
            <w:vAlign w:val="center"/>
            <w:hideMark/>
          </w:tcPr>
          <w:p w14:paraId="1CBFD942" w14:textId="77777777" w:rsidR="001856E0" w:rsidRPr="001856E0" w:rsidRDefault="001856E0" w:rsidP="008068AB">
            <w:pPr>
              <w:keepLines/>
              <w:spacing w:line="240" w:lineRule="auto"/>
              <w:rPr>
                <w:b/>
                <w:bCs/>
                <w:color w:val="000000"/>
              </w:rPr>
            </w:pPr>
          </w:p>
        </w:tc>
        <w:tc>
          <w:tcPr>
            <w:tcW w:w="1294" w:type="dxa"/>
            <w:tcBorders>
              <w:top w:val="nil"/>
              <w:left w:val="nil"/>
              <w:bottom w:val="single" w:sz="8" w:space="0" w:color="auto"/>
              <w:right w:val="single" w:sz="8" w:space="0" w:color="auto"/>
            </w:tcBorders>
            <w:shd w:val="clear" w:color="auto" w:fill="auto"/>
            <w:vAlign w:val="center"/>
            <w:hideMark/>
          </w:tcPr>
          <w:p w14:paraId="06FE7BBE" w14:textId="77777777" w:rsidR="001856E0" w:rsidRPr="001856E0" w:rsidRDefault="001856E0" w:rsidP="008068AB">
            <w:pPr>
              <w:keepLines/>
              <w:spacing w:line="240" w:lineRule="auto"/>
              <w:jc w:val="center"/>
              <w:rPr>
                <w:color w:val="000000"/>
              </w:rPr>
            </w:pPr>
            <w:r w:rsidRPr="001856E0">
              <w:rPr>
                <w:color w:val="000000"/>
              </w:rPr>
              <w:t>25%</w:t>
            </w:r>
          </w:p>
        </w:tc>
        <w:tc>
          <w:tcPr>
            <w:tcW w:w="1451" w:type="dxa"/>
            <w:tcBorders>
              <w:top w:val="nil"/>
              <w:left w:val="nil"/>
              <w:bottom w:val="single" w:sz="8" w:space="0" w:color="auto"/>
              <w:right w:val="single" w:sz="8" w:space="0" w:color="auto"/>
            </w:tcBorders>
            <w:shd w:val="clear" w:color="auto" w:fill="auto"/>
            <w:vAlign w:val="center"/>
            <w:hideMark/>
          </w:tcPr>
          <w:p w14:paraId="6BDDD56D" w14:textId="77777777" w:rsidR="001856E0" w:rsidRPr="001856E0" w:rsidRDefault="001856E0" w:rsidP="008068AB">
            <w:pPr>
              <w:keepLines/>
              <w:spacing w:line="240" w:lineRule="auto"/>
              <w:jc w:val="center"/>
              <w:rPr>
                <w:color w:val="000000"/>
              </w:rPr>
            </w:pPr>
            <w:r w:rsidRPr="001856E0">
              <w:rPr>
                <w:color w:val="000000"/>
              </w:rPr>
              <w:t xml:space="preserve">$1,000 </w:t>
            </w:r>
          </w:p>
        </w:tc>
        <w:tc>
          <w:tcPr>
            <w:tcW w:w="2565" w:type="dxa"/>
            <w:gridSpan w:val="2"/>
            <w:tcBorders>
              <w:top w:val="nil"/>
              <w:left w:val="nil"/>
              <w:bottom w:val="nil"/>
              <w:right w:val="single" w:sz="8" w:space="0" w:color="000000"/>
            </w:tcBorders>
            <w:shd w:val="clear" w:color="auto" w:fill="auto"/>
            <w:vAlign w:val="center"/>
            <w:hideMark/>
          </w:tcPr>
          <w:p w14:paraId="3851B9A6" w14:textId="77777777" w:rsidR="001856E0" w:rsidRPr="001856E0" w:rsidRDefault="001856E0" w:rsidP="008068AB">
            <w:pPr>
              <w:keepLines/>
              <w:spacing w:line="240" w:lineRule="auto"/>
              <w:rPr>
                <w:color w:val="000000"/>
              </w:rPr>
            </w:pPr>
            <w:r w:rsidRPr="001856E0">
              <w:rPr>
                <w:color w:val="000000"/>
              </w:rPr>
              <w:t> </w:t>
            </w:r>
          </w:p>
        </w:tc>
      </w:tr>
      <w:tr w:rsidR="001856E0" w:rsidRPr="001856E0" w14:paraId="72503B1D" w14:textId="77777777" w:rsidTr="008068AB">
        <w:trPr>
          <w:trHeight w:val="315"/>
        </w:trPr>
        <w:tc>
          <w:tcPr>
            <w:tcW w:w="2265" w:type="dxa"/>
            <w:vMerge/>
            <w:tcBorders>
              <w:top w:val="nil"/>
              <w:left w:val="single" w:sz="8" w:space="0" w:color="auto"/>
              <w:bottom w:val="single" w:sz="8" w:space="0" w:color="000000"/>
              <w:right w:val="single" w:sz="8" w:space="0" w:color="auto"/>
            </w:tcBorders>
            <w:vAlign w:val="center"/>
            <w:hideMark/>
          </w:tcPr>
          <w:p w14:paraId="245C048C" w14:textId="77777777" w:rsidR="001856E0" w:rsidRPr="001856E0" w:rsidRDefault="001856E0" w:rsidP="008068AB">
            <w:pPr>
              <w:keepLines/>
              <w:spacing w:line="240" w:lineRule="auto"/>
              <w:rPr>
                <w:b/>
                <w:bCs/>
                <w:color w:val="000000"/>
              </w:rPr>
            </w:pPr>
          </w:p>
        </w:tc>
        <w:tc>
          <w:tcPr>
            <w:tcW w:w="1294" w:type="dxa"/>
            <w:tcBorders>
              <w:top w:val="nil"/>
              <w:left w:val="nil"/>
              <w:bottom w:val="single" w:sz="8" w:space="0" w:color="auto"/>
              <w:right w:val="single" w:sz="8" w:space="0" w:color="auto"/>
            </w:tcBorders>
            <w:shd w:val="clear" w:color="auto" w:fill="auto"/>
            <w:vAlign w:val="center"/>
            <w:hideMark/>
          </w:tcPr>
          <w:p w14:paraId="79274732" w14:textId="77777777" w:rsidR="001856E0" w:rsidRPr="001856E0" w:rsidRDefault="001856E0" w:rsidP="008068AB">
            <w:pPr>
              <w:keepLines/>
              <w:spacing w:line="240" w:lineRule="auto"/>
              <w:jc w:val="center"/>
              <w:rPr>
                <w:color w:val="000000"/>
              </w:rPr>
            </w:pPr>
            <w:r w:rsidRPr="001856E0">
              <w:rPr>
                <w:color w:val="000000"/>
              </w:rPr>
              <w:t>_&gt; 30%</w:t>
            </w:r>
          </w:p>
        </w:tc>
        <w:tc>
          <w:tcPr>
            <w:tcW w:w="1451" w:type="dxa"/>
            <w:tcBorders>
              <w:top w:val="nil"/>
              <w:left w:val="nil"/>
              <w:bottom w:val="single" w:sz="8" w:space="0" w:color="auto"/>
              <w:right w:val="single" w:sz="8" w:space="0" w:color="auto"/>
            </w:tcBorders>
            <w:shd w:val="clear" w:color="auto" w:fill="auto"/>
            <w:vAlign w:val="center"/>
            <w:hideMark/>
          </w:tcPr>
          <w:p w14:paraId="72E34F48" w14:textId="77777777" w:rsidR="001856E0" w:rsidRPr="001856E0" w:rsidRDefault="001856E0" w:rsidP="008068AB">
            <w:pPr>
              <w:keepLines/>
              <w:spacing w:line="240" w:lineRule="auto"/>
              <w:jc w:val="center"/>
              <w:rPr>
                <w:color w:val="000000"/>
              </w:rPr>
            </w:pPr>
            <w:r w:rsidRPr="001856E0">
              <w:rPr>
                <w:color w:val="000000"/>
              </w:rPr>
              <w:t xml:space="preserve">$1,200 </w:t>
            </w:r>
          </w:p>
        </w:tc>
        <w:tc>
          <w:tcPr>
            <w:tcW w:w="2565" w:type="dxa"/>
            <w:gridSpan w:val="2"/>
            <w:tcBorders>
              <w:top w:val="nil"/>
              <w:left w:val="nil"/>
              <w:bottom w:val="single" w:sz="8" w:space="0" w:color="auto"/>
              <w:right w:val="single" w:sz="8" w:space="0" w:color="000000"/>
            </w:tcBorders>
            <w:shd w:val="clear" w:color="auto" w:fill="auto"/>
            <w:vAlign w:val="center"/>
            <w:hideMark/>
          </w:tcPr>
          <w:p w14:paraId="1565829B" w14:textId="77777777" w:rsidR="001856E0" w:rsidRPr="001856E0" w:rsidRDefault="001856E0" w:rsidP="008068AB">
            <w:pPr>
              <w:keepLines/>
              <w:spacing w:line="240" w:lineRule="auto"/>
              <w:rPr>
                <w:color w:val="000000"/>
              </w:rPr>
            </w:pPr>
            <w:r w:rsidRPr="001856E0">
              <w:rPr>
                <w:color w:val="000000"/>
              </w:rPr>
              <w:t> </w:t>
            </w:r>
          </w:p>
        </w:tc>
      </w:tr>
      <w:tr w:rsidR="001856E0" w:rsidRPr="001856E0" w14:paraId="177FB600" w14:textId="77777777" w:rsidTr="008068AB">
        <w:trPr>
          <w:trHeight w:val="615"/>
        </w:trPr>
        <w:tc>
          <w:tcPr>
            <w:tcW w:w="2265" w:type="dxa"/>
            <w:tcBorders>
              <w:top w:val="nil"/>
              <w:left w:val="single" w:sz="8" w:space="0" w:color="auto"/>
              <w:bottom w:val="single" w:sz="8" w:space="0" w:color="auto"/>
              <w:right w:val="single" w:sz="8" w:space="0" w:color="auto"/>
            </w:tcBorders>
            <w:shd w:val="clear" w:color="auto" w:fill="auto"/>
            <w:vAlign w:val="center"/>
            <w:hideMark/>
          </w:tcPr>
          <w:p w14:paraId="0AF8BA54" w14:textId="77777777" w:rsidR="001856E0" w:rsidRPr="001856E0" w:rsidRDefault="001856E0" w:rsidP="008068AB">
            <w:pPr>
              <w:keepLines/>
              <w:spacing w:line="240" w:lineRule="auto"/>
              <w:rPr>
                <w:b/>
                <w:bCs/>
                <w:color w:val="000000"/>
              </w:rPr>
            </w:pPr>
            <w:r w:rsidRPr="001856E0">
              <w:rPr>
                <w:b/>
                <w:bCs/>
                <w:color w:val="000000"/>
              </w:rPr>
              <w:t>Verification</w:t>
            </w:r>
          </w:p>
        </w:tc>
        <w:tc>
          <w:tcPr>
            <w:tcW w:w="2745" w:type="dxa"/>
            <w:gridSpan w:val="2"/>
            <w:tcBorders>
              <w:top w:val="single" w:sz="8" w:space="0" w:color="auto"/>
              <w:left w:val="nil"/>
              <w:bottom w:val="single" w:sz="8" w:space="0" w:color="auto"/>
              <w:right w:val="single" w:sz="8" w:space="0" w:color="000000"/>
            </w:tcBorders>
            <w:shd w:val="clear" w:color="auto" w:fill="auto"/>
            <w:vAlign w:val="center"/>
            <w:hideMark/>
          </w:tcPr>
          <w:p w14:paraId="0310E67C" w14:textId="77777777" w:rsidR="001856E0" w:rsidRPr="001856E0" w:rsidRDefault="001856E0" w:rsidP="008068AB">
            <w:pPr>
              <w:keepLines/>
              <w:spacing w:line="240" w:lineRule="auto"/>
              <w:jc w:val="center"/>
              <w:rPr>
                <w:color w:val="000000"/>
              </w:rPr>
            </w:pPr>
            <w:r w:rsidRPr="001856E0">
              <w:rPr>
                <w:color w:val="000000"/>
              </w:rPr>
              <w:t>Participating Rater</w:t>
            </w:r>
          </w:p>
        </w:tc>
        <w:tc>
          <w:tcPr>
            <w:tcW w:w="2565" w:type="dxa"/>
            <w:gridSpan w:val="2"/>
            <w:tcBorders>
              <w:top w:val="single" w:sz="8" w:space="0" w:color="auto"/>
              <w:left w:val="nil"/>
              <w:bottom w:val="single" w:sz="8" w:space="0" w:color="auto"/>
              <w:right w:val="single" w:sz="8" w:space="0" w:color="000000"/>
            </w:tcBorders>
            <w:shd w:val="clear" w:color="auto" w:fill="auto"/>
            <w:vAlign w:val="center"/>
            <w:hideMark/>
          </w:tcPr>
          <w:p w14:paraId="3A66DED7" w14:textId="77777777" w:rsidR="001856E0" w:rsidRPr="001856E0" w:rsidRDefault="001856E0" w:rsidP="008068AB">
            <w:pPr>
              <w:keepLines/>
              <w:spacing w:line="240" w:lineRule="auto"/>
              <w:jc w:val="center"/>
              <w:rPr>
                <w:color w:val="000000"/>
              </w:rPr>
            </w:pPr>
            <w:r w:rsidRPr="001856E0">
              <w:rPr>
                <w:color w:val="000000"/>
              </w:rPr>
              <w:t>Tech. Assist. (AEA)</w:t>
            </w:r>
          </w:p>
        </w:tc>
      </w:tr>
      <w:tr w:rsidR="001856E0" w:rsidRPr="001856E0" w14:paraId="220A27ED" w14:textId="77777777" w:rsidTr="008068AB">
        <w:trPr>
          <w:trHeight w:val="615"/>
        </w:trPr>
        <w:tc>
          <w:tcPr>
            <w:tcW w:w="2265" w:type="dxa"/>
            <w:tcBorders>
              <w:top w:val="nil"/>
              <w:left w:val="single" w:sz="8" w:space="0" w:color="auto"/>
              <w:bottom w:val="single" w:sz="8" w:space="0" w:color="auto"/>
              <w:right w:val="single" w:sz="8" w:space="0" w:color="auto"/>
            </w:tcBorders>
            <w:shd w:val="clear" w:color="auto" w:fill="auto"/>
            <w:vAlign w:val="center"/>
            <w:hideMark/>
          </w:tcPr>
          <w:p w14:paraId="1975EAF4" w14:textId="77777777" w:rsidR="001856E0" w:rsidRPr="001856E0" w:rsidRDefault="001856E0" w:rsidP="001856E0">
            <w:pPr>
              <w:spacing w:line="240" w:lineRule="auto"/>
              <w:rPr>
                <w:b/>
                <w:bCs/>
                <w:color w:val="000000"/>
              </w:rPr>
            </w:pPr>
            <w:r w:rsidRPr="001856E0">
              <w:rPr>
                <w:b/>
                <w:bCs/>
                <w:color w:val="000000"/>
              </w:rPr>
              <w:t>Competition</w:t>
            </w:r>
          </w:p>
        </w:tc>
        <w:tc>
          <w:tcPr>
            <w:tcW w:w="2745" w:type="dxa"/>
            <w:gridSpan w:val="2"/>
            <w:tcBorders>
              <w:top w:val="single" w:sz="8" w:space="0" w:color="auto"/>
              <w:left w:val="nil"/>
              <w:bottom w:val="single" w:sz="8" w:space="0" w:color="auto"/>
              <w:right w:val="single" w:sz="8" w:space="0" w:color="000000"/>
            </w:tcBorders>
            <w:shd w:val="clear" w:color="auto" w:fill="auto"/>
            <w:vAlign w:val="center"/>
            <w:hideMark/>
          </w:tcPr>
          <w:p w14:paraId="5BC35B05" w14:textId="77777777" w:rsidR="001856E0" w:rsidRPr="001856E0" w:rsidRDefault="001856E0" w:rsidP="001856E0">
            <w:pPr>
              <w:spacing w:line="240" w:lineRule="auto"/>
              <w:jc w:val="center"/>
              <w:rPr>
                <w:color w:val="000000"/>
              </w:rPr>
            </w:pPr>
            <w:r w:rsidRPr="001856E0">
              <w:rPr>
                <w:color w:val="000000"/>
              </w:rPr>
              <w:t>Direct from SCE/SCG pilot</w:t>
            </w:r>
          </w:p>
        </w:tc>
        <w:tc>
          <w:tcPr>
            <w:tcW w:w="2565" w:type="dxa"/>
            <w:gridSpan w:val="2"/>
            <w:tcBorders>
              <w:top w:val="single" w:sz="8" w:space="0" w:color="auto"/>
              <w:left w:val="nil"/>
              <w:bottom w:val="single" w:sz="8" w:space="0" w:color="auto"/>
              <w:right w:val="single" w:sz="8" w:space="0" w:color="000000"/>
            </w:tcBorders>
            <w:shd w:val="clear" w:color="auto" w:fill="auto"/>
            <w:vAlign w:val="center"/>
            <w:hideMark/>
          </w:tcPr>
          <w:p w14:paraId="7087BA7C" w14:textId="77777777" w:rsidR="001856E0" w:rsidRPr="001856E0" w:rsidRDefault="001856E0" w:rsidP="001856E0">
            <w:pPr>
              <w:spacing w:line="240" w:lineRule="auto"/>
              <w:jc w:val="center"/>
              <w:rPr>
                <w:color w:val="000000"/>
              </w:rPr>
            </w:pPr>
            <w:r w:rsidRPr="001856E0">
              <w:rPr>
                <w:color w:val="000000"/>
              </w:rPr>
              <w:t>No direct competition</w:t>
            </w:r>
          </w:p>
        </w:tc>
      </w:tr>
    </w:tbl>
    <w:p w14:paraId="7D2D46C5" w14:textId="77777777" w:rsidR="001856E0" w:rsidRPr="00E72B30" w:rsidRDefault="001856E0" w:rsidP="008068AB">
      <w:pPr>
        <w:pStyle w:val="ListParagraph"/>
        <w:ind w:left="1152"/>
      </w:pPr>
    </w:p>
    <w:p w14:paraId="3AD59578" w14:textId="35897CFE" w:rsidR="001F5F25" w:rsidRDefault="004B383B" w:rsidP="004B383B">
      <w:pPr>
        <w:pStyle w:val="ParaText"/>
      </w:pPr>
      <w:r>
        <w:lastRenderedPageBreak/>
        <w:t xml:space="preserve">Cumulatively, these programs have claimed </w:t>
      </w:r>
      <w:r w:rsidR="00457F2C">
        <w:t>3,</w:t>
      </w:r>
      <w:r w:rsidR="00F346F8">
        <w:t>181</w:t>
      </w:r>
      <w:r w:rsidR="00205415">
        <w:t xml:space="preserve"> </w:t>
      </w:r>
      <w:r w:rsidR="00843DF9">
        <w:t>kW</w:t>
      </w:r>
      <w:r w:rsidR="00205415">
        <w:t xml:space="preserve">, </w:t>
      </w:r>
      <w:r w:rsidR="00F346F8">
        <w:t>9,380,425</w:t>
      </w:r>
      <w:r w:rsidR="00205415">
        <w:t xml:space="preserve"> </w:t>
      </w:r>
      <w:r>
        <w:t xml:space="preserve">kWh, and </w:t>
      </w:r>
      <w:r w:rsidR="00F346F8">
        <w:t>763,043</w:t>
      </w:r>
      <w:r>
        <w:t xml:space="preserve"> therms</w:t>
      </w:r>
      <w:r w:rsidR="00205415">
        <w:t xml:space="preserve"> during the 2013-2015 program years</w:t>
      </w:r>
      <w:r>
        <w:t xml:space="preserve">. The majority of these savings have come from the </w:t>
      </w:r>
      <w:proofErr w:type="spellStart"/>
      <w:r>
        <w:t>BayREN</w:t>
      </w:r>
      <w:proofErr w:type="spellEnd"/>
      <w:r>
        <w:t xml:space="preserve"> Multifamily program, contributing over </w:t>
      </w:r>
      <w:r w:rsidR="00F346F8">
        <w:t>6</w:t>
      </w:r>
      <w:r w:rsidR="00457F2C">
        <w:t>9</w:t>
      </w:r>
      <w:r w:rsidR="00205415">
        <w:t>%</w:t>
      </w:r>
      <w:r>
        <w:t xml:space="preserve"> of the kWh savings</w:t>
      </w:r>
      <w:r w:rsidR="00205415">
        <w:t xml:space="preserve"> </w:t>
      </w:r>
      <w:r w:rsidR="00F346F8">
        <w:t>and 59</w:t>
      </w:r>
      <w:r w:rsidR="00FD3A1E">
        <w:t xml:space="preserve">% of the </w:t>
      </w:r>
      <w:proofErr w:type="spellStart"/>
      <w:r w:rsidR="00FD3A1E">
        <w:t>therm</w:t>
      </w:r>
      <w:proofErr w:type="spellEnd"/>
      <w:r w:rsidR="00FD3A1E">
        <w:t xml:space="preserve"> savings </w:t>
      </w:r>
      <w:r w:rsidR="00205415">
        <w:t>(</w:t>
      </w:r>
      <w:r w:rsidR="00205415">
        <w:fldChar w:fldCharType="begin"/>
      </w:r>
      <w:r w:rsidR="00205415">
        <w:instrText xml:space="preserve"> REF _Ref454356948 \h </w:instrText>
      </w:r>
      <w:r w:rsidR="00205415">
        <w:fldChar w:fldCharType="separate"/>
      </w:r>
      <w:r w:rsidR="00A53E5B">
        <w:t xml:space="preserve">Table </w:t>
      </w:r>
      <w:r w:rsidR="00A53E5B">
        <w:rPr>
          <w:noProof/>
        </w:rPr>
        <w:t>B</w:t>
      </w:r>
      <w:r w:rsidR="00205415">
        <w:fldChar w:fldCharType="end"/>
      </w:r>
      <w:r w:rsidR="00205415">
        <w:t>)</w:t>
      </w:r>
      <w:r>
        <w:t xml:space="preserve">. </w:t>
      </w:r>
    </w:p>
    <w:p w14:paraId="0237128F" w14:textId="768CE361" w:rsidR="004B383B" w:rsidRDefault="004B383B" w:rsidP="004B383B">
      <w:pPr>
        <w:pStyle w:val="Caption"/>
      </w:pPr>
      <w:r>
        <w:t xml:space="preserve"> </w:t>
      </w:r>
      <w:bookmarkStart w:id="10" w:name="_Ref454356948"/>
      <w:r>
        <w:t xml:space="preserve">Table </w:t>
      </w:r>
      <w:r w:rsidR="008068AB">
        <w:fldChar w:fldCharType="begin"/>
      </w:r>
      <w:r w:rsidR="008068AB">
        <w:instrText xml:space="preserve"> SEQ Table \* ALPHABETIC </w:instrText>
      </w:r>
      <w:r w:rsidR="008068AB">
        <w:fldChar w:fldCharType="separate"/>
      </w:r>
      <w:r w:rsidR="00A53E5B">
        <w:rPr>
          <w:noProof/>
        </w:rPr>
        <w:t>B</w:t>
      </w:r>
      <w:r w:rsidR="008068AB">
        <w:rPr>
          <w:noProof/>
        </w:rPr>
        <w:fldChar w:fldCharType="end"/>
      </w:r>
      <w:bookmarkEnd w:id="10"/>
      <w:r>
        <w:t>. 2013-2015 Ex Ante Gross Savings, by Program</w:t>
      </w:r>
      <w:r w:rsidR="00205415">
        <w:rPr>
          <w:rStyle w:val="FootnoteReference"/>
        </w:rPr>
        <w:footnoteReference w:id="10"/>
      </w:r>
    </w:p>
    <w:tbl>
      <w:tblPr>
        <w:tblW w:w="10585" w:type="dxa"/>
        <w:tblInd w:w="93" w:type="dxa"/>
        <w:tblLook w:val="04A0" w:firstRow="1" w:lastRow="0" w:firstColumn="1" w:lastColumn="0" w:noHBand="0" w:noVBand="1"/>
      </w:tblPr>
      <w:tblGrid>
        <w:gridCol w:w="540"/>
        <w:gridCol w:w="2265"/>
        <w:gridCol w:w="1440"/>
        <w:gridCol w:w="990"/>
        <w:gridCol w:w="900"/>
        <w:gridCol w:w="900"/>
        <w:gridCol w:w="1080"/>
        <w:gridCol w:w="1350"/>
        <w:gridCol w:w="1120"/>
      </w:tblGrid>
      <w:tr w:rsidR="00F61639" w:rsidRPr="00F61639" w14:paraId="022884A7" w14:textId="77777777" w:rsidTr="00457F2C">
        <w:trPr>
          <w:gridAfter w:val="1"/>
          <w:wAfter w:w="1120" w:type="dxa"/>
          <w:trHeight w:val="315"/>
        </w:trPr>
        <w:tc>
          <w:tcPr>
            <w:tcW w:w="2805" w:type="dxa"/>
            <w:gridSpan w:val="2"/>
            <w:vMerge w:val="restart"/>
            <w:tcBorders>
              <w:top w:val="single" w:sz="8" w:space="0" w:color="A6A6A6"/>
              <w:left w:val="single" w:sz="8" w:space="0" w:color="A6A6A6"/>
              <w:bottom w:val="single" w:sz="8" w:space="0" w:color="A6A6A6"/>
              <w:right w:val="single" w:sz="8" w:space="0" w:color="A6A6A6"/>
            </w:tcBorders>
            <w:shd w:val="clear" w:color="000000" w:fill="3F9C35"/>
            <w:vAlign w:val="center"/>
            <w:hideMark/>
          </w:tcPr>
          <w:p w14:paraId="23D20565" w14:textId="77777777" w:rsidR="00F61639" w:rsidRPr="00F61639" w:rsidRDefault="00F61639" w:rsidP="00F61639">
            <w:pPr>
              <w:spacing w:line="240" w:lineRule="auto"/>
              <w:jc w:val="center"/>
              <w:rPr>
                <w:rFonts w:ascii="Verdana" w:hAnsi="Verdana"/>
                <w:b/>
                <w:bCs/>
                <w:color w:val="FFFFFF"/>
                <w:sz w:val="20"/>
                <w:szCs w:val="20"/>
              </w:rPr>
            </w:pPr>
            <w:r w:rsidRPr="00F61639">
              <w:rPr>
                <w:rFonts w:ascii="Verdana" w:hAnsi="Verdana"/>
                <w:b/>
                <w:bCs/>
                <w:color w:val="FFFFFF"/>
                <w:sz w:val="20"/>
                <w:szCs w:val="20"/>
              </w:rPr>
              <w:t> </w:t>
            </w:r>
          </w:p>
        </w:tc>
        <w:tc>
          <w:tcPr>
            <w:tcW w:w="6660" w:type="dxa"/>
            <w:gridSpan w:val="6"/>
            <w:tcBorders>
              <w:top w:val="single" w:sz="8" w:space="0" w:color="A6A6A6"/>
              <w:left w:val="nil"/>
              <w:bottom w:val="single" w:sz="8" w:space="0" w:color="A6A6A6"/>
              <w:right w:val="single" w:sz="8" w:space="0" w:color="A6A6A6"/>
            </w:tcBorders>
            <w:shd w:val="clear" w:color="000000" w:fill="3F9C35"/>
            <w:vAlign w:val="center"/>
            <w:hideMark/>
          </w:tcPr>
          <w:p w14:paraId="4B25BF4B" w14:textId="77777777" w:rsidR="00F61639" w:rsidRPr="00F61639" w:rsidRDefault="00F61639" w:rsidP="00F61639">
            <w:pPr>
              <w:spacing w:line="240" w:lineRule="auto"/>
              <w:jc w:val="center"/>
              <w:rPr>
                <w:rFonts w:ascii="Verdana" w:hAnsi="Verdana"/>
                <w:b/>
                <w:bCs/>
                <w:color w:val="FFFFFF"/>
                <w:sz w:val="20"/>
                <w:szCs w:val="20"/>
              </w:rPr>
            </w:pPr>
            <w:r w:rsidRPr="00F61639">
              <w:rPr>
                <w:rFonts w:ascii="Verdana" w:hAnsi="Verdana"/>
                <w:b/>
                <w:bCs/>
                <w:color w:val="FFFFFF"/>
                <w:sz w:val="20"/>
                <w:szCs w:val="20"/>
              </w:rPr>
              <w:t>Ex Ante Savings</w:t>
            </w:r>
          </w:p>
        </w:tc>
      </w:tr>
      <w:tr w:rsidR="00F61639" w:rsidRPr="00F61639" w14:paraId="4D413A4F" w14:textId="77777777" w:rsidTr="00457F2C">
        <w:trPr>
          <w:gridAfter w:val="1"/>
          <w:wAfter w:w="1120" w:type="dxa"/>
          <w:trHeight w:val="525"/>
        </w:trPr>
        <w:tc>
          <w:tcPr>
            <w:tcW w:w="2805" w:type="dxa"/>
            <w:gridSpan w:val="2"/>
            <w:vMerge/>
            <w:tcBorders>
              <w:top w:val="single" w:sz="8" w:space="0" w:color="A6A6A6"/>
              <w:left w:val="single" w:sz="8" w:space="0" w:color="A6A6A6"/>
              <w:bottom w:val="single" w:sz="8" w:space="0" w:color="A6A6A6"/>
              <w:right w:val="single" w:sz="8" w:space="0" w:color="A6A6A6"/>
            </w:tcBorders>
            <w:vAlign w:val="center"/>
            <w:hideMark/>
          </w:tcPr>
          <w:p w14:paraId="6775BD6D" w14:textId="77777777" w:rsidR="00F61639" w:rsidRPr="00F61639" w:rsidRDefault="00F61639" w:rsidP="00F61639">
            <w:pPr>
              <w:spacing w:line="240" w:lineRule="auto"/>
              <w:rPr>
                <w:rFonts w:ascii="Verdana" w:hAnsi="Verdana"/>
                <w:b/>
                <w:bCs/>
                <w:color w:val="FFFFFF"/>
                <w:sz w:val="20"/>
                <w:szCs w:val="20"/>
              </w:rPr>
            </w:pPr>
          </w:p>
        </w:tc>
        <w:tc>
          <w:tcPr>
            <w:tcW w:w="1440" w:type="dxa"/>
            <w:tcBorders>
              <w:top w:val="nil"/>
              <w:left w:val="nil"/>
              <w:bottom w:val="single" w:sz="8" w:space="0" w:color="A6A6A6"/>
              <w:right w:val="single" w:sz="8" w:space="0" w:color="A6A6A6"/>
            </w:tcBorders>
            <w:shd w:val="clear" w:color="000000" w:fill="3F9C35"/>
            <w:vAlign w:val="center"/>
            <w:hideMark/>
          </w:tcPr>
          <w:p w14:paraId="2AF0F8BC" w14:textId="77777777" w:rsidR="00F61639" w:rsidRPr="00F61639" w:rsidRDefault="00F61639" w:rsidP="00F61639">
            <w:pPr>
              <w:spacing w:line="240" w:lineRule="auto"/>
              <w:jc w:val="center"/>
              <w:rPr>
                <w:rFonts w:ascii="Verdana" w:hAnsi="Verdana"/>
                <w:b/>
                <w:bCs/>
                <w:color w:val="FFFFFF"/>
                <w:sz w:val="20"/>
                <w:szCs w:val="20"/>
              </w:rPr>
            </w:pPr>
            <w:r w:rsidRPr="00F61639">
              <w:rPr>
                <w:rFonts w:ascii="Verdana" w:hAnsi="Verdana"/>
                <w:b/>
                <w:bCs/>
                <w:color w:val="FFFFFF"/>
                <w:sz w:val="20"/>
                <w:szCs w:val="20"/>
              </w:rPr>
              <w:t>kWh</w:t>
            </w:r>
          </w:p>
        </w:tc>
        <w:tc>
          <w:tcPr>
            <w:tcW w:w="990" w:type="dxa"/>
            <w:tcBorders>
              <w:top w:val="nil"/>
              <w:left w:val="nil"/>
              <w:bottom w:val="single" w:sz="8" w:space="0" w:color="A6A6A6"/>
              <w:right w:val="single" w:sz="8" w:space="0" w:color="A6A6A6"/>
            </w:tcBorders>
            <w:shd w:val="clear" w:color="000000" w:fill="3F9C35"/>
            <w:vAlign w:val="center"/>
            <w:hideMark/>
          </w:tcPr>
          <w:p w14:paraId="7983119F" w14:textId="77777777" w:rsidR="00F61639" w:rsidRPr="00F61639" w:rsidRDefault="00F61639" w:rsidP="00F61639">
            <w:pPr>
              <w:spacing w:line="240" w:lineRule="auto"/>
              <w:jc w:val="center"/>
              <w:rPr>
                <w:rFonts w:ascii="Verdana" w:hAnsi="Verdana"/>
                <w:b/>
                <w:bCs/>
                <w:color w:val="FFFFFF"/>
                <w:sz w:val="20"/>
                <w:szCs w:val="20"/>
              </w:rPr>
            </w:pPr>
            <w:r w:rsidRPr="00F61639">
              <w:rPr>
                <w:rFonts w:ascii="Verdana" w:hAnsi="Verdana"/>
                <w:b/>
                <w:bCs/>
                <w:color w:val="FFFFFF"/>
                <w:sz w:val="20"/>
                <w:szCs w:val="20"/>
              </w:rPr>
              <w:t>% of Total</w:t>
            </w:r>
          </w:p>
        </w:tc>
        <w:tc>
          <w:tcPr>
            <w:tcW w:w="900" w:type="dxa"/>
            <w:tcBorders>
              <w:top w:val="nil"/>
              <w:left w:val="nil"/>
              <w:bottom w:val="single" w:sz="8" w:space="0" w:color="A6A6A6"/>
              <w:right w:val="single" w:sz="8" w:space="0" w:color="A6A6A6"/>
            </w:tcBorders>
            <w:shd w:val="clear" w:color="000000" w:fill="3F9C35"/>
            <w:vAlign w:val="center"/>
            <w:hideMark/>
          </w:tcPr>
          <w:p w14:paraId="3447EBFC" w14:textId="77777777" w:rsidR="00F61639" w:rsidRPr="00F61639" w:rsidRDefault="00F61639" w:rsidP="00F61639">
            <w:pPr>
              <w:spacing w:line="240" w:lineRule="auto"/>
              <w:jc w:val="center"/>
              <w:rPr>
                <w:rFonts w:ascii="Verdana" w:hAnsi="Verdana"/>
                <w:b/>
                <w:bCs/>
                <w:color w:val="FFFFFF"/>
                <w:sz w:val="20"/>
                <w:szCs w:val="20"/>
              </w:rPr>
            </w:pPr>
            <w:r w:rsidRPr="00F61639">
              <w:rPr>
                <w:rFonts w:ascii="Verdana" w:hAnsi="Verdana"/>
                <w:b/>
                <w:bCs/>
                <w:color w:val="FFFFFF"/>
                <w:sz w:val="20"/>
                <w:szCs w:val="20"/>
              </w:rPr>
              <w:t>kW</w:t>
            </w:r>
          </w:p>
        </w:tc>
        <w:tc>
          <w:tcPr>
            <w:tcW w:w="900" w:type="dxa"/>
            <w:tcBorders>
              <w:top w:val="nil"/>
              <w:left w:val="nil"/>
              <w:bottom w:val="single" w:sz="8" w:space="0" w:color="A6A6A6"/>
              <w:right w:val="single" w:sz="8" w:space="0" w:color="A6A6A6"/>
            </w:tcBorders>
            <w:shd w:val="clear" w:color="000000" w:fill="3F9C35"/>
            <w:vAlign w:val="center"/>
            <w:hideMark/>
          </w:tcPr>
          <w:p w14:paraId="4634F9B0" w14:textId="77777777" w:rsidR="00F61639" w:rsidRPr="00F61639" w:rsidRDefault="00F61639" w:rsidP="00F61639">
            <w:pPr>
              <w:spacing w:line="240" w:lineRule="auto"/>
              <w:jc w:val="center"/>
              <w:rPr>
                <w:rFonts w:ascii="Verdana" w:hAnsi="Verdana"/>
                <w:b/>
                <w:bCs/>
                <w:color w:val="FFFFFF"/>
                <w:sz w:val="20"/>
                <w:szCs w:val="20"/>
              </w:rPr>
            </w:pPr>
            <w:r w:rsidRPr="00F61639">
              <w:rPr>
                <w:rFonts w:ascii="Verdana" w:hAnsi="Verdana"/>
                <w:b/>
                <w:bCs/>
                <w:color w:val="FFFFFF"/>
                <w:sz w:val="20"/>
                <w:szCs w:val="20"/>
              </w:rPr>
              <w:t>% of Total</w:t>
            </w:r>
          </w:p>
        </w:tc>
        <w:tc>
          <w:tcPr>
            <w:tcW w:w="1080" w:type="dxa"/>
            <w:tcBorders>
              <w:top w:val="nil"/>
              <w:left w:val="nil"/>
              <w:bottom w:val="single" w:sz="8" w:space="0" w:color="A6A6A6"/>
              <w:right w:val="single" w:sz="8" w:space="0" w:color="A6A6A6"/>
            </w:tcBorders>
            <w:shd w:val="clear" w:color="000000" w:fill="3F9C35"/>
            <w:vAlign w:val="center"/>
            <w:hideMark/>
          </w:tcPr>
          <w:p w14:paraId="795BB84A" w14:textId="77777777" w:rsidR="00F61639" w:rsidRPr="00F61639" w:rsidRDefault="00F61639" w:rsidP="00F61639">
            <w:pPr>
              <w:spacing w:line="240" w:lineRule="auto"/>
              <w:jc w:val="center"/>
              <w:rPr>
                <w:rFonts w:ascii="Verdana" w:hAnsi="Verdana"/>
                <w:b/>
                <w:bCs/>
                <w:color w:val="FFFFFF"/>
                <w:sz w:val="20"/>
                <w:szCs w:val="20"/>
              </w:rPr>
            </w:pPr>
            <w:r w:rsidRPr="00F61639">
              <w:rPr>
                <w:rFonts w:ascii="Verdana" w:hAnsi="Verdana"/>
                <w:b/>
                <w:bCs/>
                <w:color w:val="FFFFFF"/>
                <w:sz w:val="20"/>
                <w:szCs w:val="20"/>
              </w:rPr>
              <w:t>Therms</w:t>
            </w:r>
          </w:p>
        </w:tc>
        <w:tc>
          <w:tcPr>
            <w:tcW w:w="1350" w:type="dxa"/>
            <w:tcBorders>
              <w:top w:val="nil"/>
              <w:left w:val="nil"/>
              <w:bottom w:val="single" w:sz="8" w:space="0" w:color="A6A6A6"/>
              <w:right w:val="single" w:sz="8" w:space="0" w:color="A6A6A6"/>
            </w:tcBorders>
            <w:shd w:val="clear" w:color="000000" w:fill="3F9C35"/>
            <w:vAlign w:val="center"/>
            <w:hideMark/>
          </w:tcPr>
          <w:p w14:paraId="4EB9E98A" w14:textId="77777777" w:rsidR="00F61639" w:rsidRPr="00F61639" w:rsidRDefault="00F61639" w:rsidP="00F61639">
            <w:pPr>
              <w:spacing w:line="240" w:lineRule="auto"/>
              <w:jc w:val="center"/>
              <w:rPr>
                <w:rFonts w:ascii="Verdana" w:hAnsi="Verdana"/>
                <w:b/>
                <w:bCs/>
                <w:color w:val="FFFFFF"/>
                <w:sz w:val="20"/>
                <w:szCs w:val="20"/>
              </w:rPr>
            </w:pPr>
            <w:r w:rsidRPr="00F61639">
              <w:rPr>
                <w:rFonts w:ascii="Verdana" w:hAnsi="Verdana"/>
                <w:b/>
                <w:bCs/>
                <w:color w:val="FFFFFF"/>
                <w:sz w:val="20"/>
                <w:szCs w:val="20"/>
              </w:rPr>
              <w:t>% of Total</w:t>
            </w:r>
          </w:p>
        </w:tc>
      </w:tr>
      <w:tr w:rsidR="00F61639" w:rsidRPr="00F61639" w14:paraId="3C22ED09" w14:textId="77777777" w:rsidTr="00457F2C">
        <w:trPr>
          <w:gridAfter w:val="1"/>
          <w:wAfter w:w="1120" w:type="dxa"/>
          <w:trHeight w:val="315"/>
        </w:trPr>
        <w:tc>
          <w:tcPr>
            <w:tcW w:w="2805" w:type="dxa"/>
            <w:gridSpan w:val="2"/>
            <w:tcBorders>
              <w:top w:val="single" w:sz="8" w:space="0" w:color="A6A6A6"/>
              <w:left w:val="single" w:sz="8" w:space="0" w:color="A6A6A6"/>
              <w:bottom w:val="single" w:sz="8" w:space="0" w:color="A6A6A6"/>
              <w:right w:val="single" w:sz="8" w:space="0" w:color="A6A6A6"/>
            </w:tcBorders>
            <w:shd w:val="clear" w:color="auto" w:fill="auto"/>
            <w:vAlign w:val="center"/>
            <w:hideMark/>
          </w:tcPr>
          <w:p w14:paraId="5A66C71C" w14:textId="77777777" w:rsidR="00F61639" w:rsidRPr="00F61639" w:rsidRDefault="00F61639" w:rsidP="00F61639">
            <w:pPr>
              <w:spacing w:line="240" w:lineRule="auto"/>
              <w:rPr>
                <w:b/>
                <w:bCs/>
                <w:color w:val="000000"/>
                <w:sz w:val="20"/>
                <w:szCs w:val="20"/>
              </w:rPr>
            </w:pPr>
            <w:r w:rsidRPr="00F61639">
              <w:rPr>
                <w:b/>
                <w:bCs/>
                <w:color w:val="000000"/>
                <w:sz w:val="20"/>
                <w:szCs w:val="20"/>
              </w:rPr>
              <w:t>BayREN</w:t>
            </w:r>
          </w:p>
        </w:tc>
        <w:tc>
          <w:tcPr>
            <w:tcW w:w="1440" w:type="dxa"/>
            <w:tcBorders>
              <w:top w:val="nil"/>
              <w:left w:val="nil"/>
              <w:bottom w:val="single" w:sz="8" w:space="0" w:color="A6A6A6"/>
              <w:right w:val="single" w:sz="8" w:space="0" w:color="A6A6A6"/>
            </w:tcBorders>
            <w:shd w:val="clear" w:color="auto" w:fill="auto"/>
            <w:vAlign w:val="center"/>
            <w:hideMark/>
          </w:tcPr>
          <w:p w14:paraId="33F151EB" w14:textId="77777777" w:rsidR="00F61639" w:rsidRPr="00F61639" w:rsidRDefault="00F61639" w:rsidP="00F61639">
            <w:pPr>
              <w:spacing w:line="240" w:lineRule="auto"/>
              <w:rPr>
                <w:color w:val="000000"/>
                <w:sz w:val="20"/>
                <w:szCs w:val="20"/>
              </w:rPr>
            </w:pPr>
            <w:r w:rsidRPr="00F61639">
              <w:rPr>
                <w:color w:val="000000"/>
                <w:sz w:val="20"/>
                <w:szCs w:val="20"/>
              </w:rPr>
              <w:t> </w:t>
            </w:r>
          </w:p>
        </w:tc>
        <w:tc>
          <w:tcPr>
            <w:tcW w:w="990" w:type="dxa"/>
            <w:tcBorders>
              <w:top w:val="nil"/>
              <w:left w:val="nil"/>
              <w:bottom w:val="single" w:sz="8" w:space="0" w:color="A6A6A6"/>
              <w:right w:val="single" w:sz="8" w:space="0" w:color="A6A6A6"/>
            </w:tcBorders>
            <w:shd w:val="clear" w:color="auto" w:fill="auto"/>
            <w:vAlign w:val="center"/>
            <w:hideMark/>
          </w:tcPr>
          <w:p w14:paraId="4BE0688E" w14:textId="77777777" w:rsidR="00F61639" w:rsidRPr="00F61639" w:rsidRDefault="00F61639" w:rsidP="00F61639">
            <w:pPr>
              <w:spacing w:line="240" w:lineRule="auto"/>
              <w:rPr>
                <w:color w:val="000000"/>
                <w:sz w:val="20"/>
                <w:szCs w:val="20"/>
              </w:rPr>
            </w:pPr>
            <w:r w:rsidRPr="00F61639">
              <w:rPr>
                <w:color w:val="000000"/>
                <w:sz w:val="20"/>
                <w:szCs w:val="20"/>
              </w:rPr>
              <w:t> </w:t>
            </w:r>
          </w:p>
        </w:tc>
        <w:tc>
          <w:tcPr>
            <w:tcW w:w="900" w:type="dxa"/>
            <w:tcBorders>
              <w:top w:val="nil"/>
              <w:left w:val="nil"/>
              <w:bottom w:val="single" w:sz="8" w:space="0" w:color="A6A6A6"/>
              <w:right w:val="single" w:sz="8" w:space="0" w:color="A6A6A6"/>
            </w:tcBorders>
            <w:shd w:val="clear" w:color="auto" w:fill="auto"/>
            <w:vAlign w:val="center"/>
            <w:hideMark/>
          </w:tcPr>
          <w:p w14:paraId="7B17F4A9" w14:textId="77777777" w:rsidR="00F61639" w:rsidRPr="00F61639" w:rsidRDefault="00F61639" w:rsidP="00F61639">
            <w:pPr>
              <w:spacing w:line="240" w:lineRule="auto"/>
              <w:rPr>
                <w:color w:val="000000"/>
                <w:sz w:val="20"/>
                <w:szCs w:val="20"/>
              </w:rPr>
            </w:pPr>
            <w:r w:rsidRPr="00F61639">
              <w:rPr>
                <w:color w:val="000000"/>
                <w:sz w:val="20"/>
                <w:szCs w:val="20"/>
              </w:rPr>
              <w:t> </w:t>
            </w:r>
          </w:p>
        </w:tc>
        <w:tc>
          <w:tcPr>
            <w:tcW w:w="900" w:type="dxa"/>
            <w:tcBorders>
              <w:top w:val="nil"/>
              <w:left w:val="nil"/>
              <w:bottom w:val="single" w:sz="8" w:space="0" w:color="A6A6A6"/>
              <w:right w:val="single" w:sz="8" w:space="0" w:color="A6A6A6"/>
            </w:tcBorders>
            <w:shd w:val="clear" w:color="auto" w:fill="auto"/>
            <w:vAlign w:val="center"/>
            <w:hideMark/>
          </w:tcPr>
          <w:p w14:paraId="6111F8DE" w14:textId="77777777" w:rsidR="00F61639" w:rsidRPr="00F61639" w:rsidRDefault="00F61639" w:rsidP="00F61639">
            <w:pPr>
              <w:spacing w:line="240" w:lineRule="auto"/>
              <w:rPr>
                <w:color w:val="000000"/>
                <w:sz w:val="20"/>
                <w:szCs w:val="20"/>
              </w:rPr>
            </w:pPr>
            <w:r w:rsidRPr="00F61639">
              <w:rPr>
                <w:color w:val="000000"/>
                <w:sz w:val="20"/>
                <w:szCs w:val="20"/>
              </w:rPr>
              <w:t> </w:t>
            </w:r>
          </w:p>
        </w:tc>
        <w:tc>
          <w:tcPr>
            <w:tcW w:w="1080" w:type="dxa"/>
            <w:tcBorders>
              <w:top w:val="nil"/>
              <w:left w:val="nil"/>
              <w:bottom w:val="single" w:sz="8" w:space="0" w:color="A6A6A6"/>
              <w:right w:val="single" w:sz="8" w:space="0" w:color="A6A6A6"/>
            </w:tcBorders>
            <w:shd w:val="clear" w:color="auto" w:fill="auto"/>
            <w:vAlign w:val="center"/>
            <w:hideMark/>
          </w:tcPr>
          <w:p w14:paraId="0985580F" w14:textId="77777777" w:rsidR="00F61639" w:rsidRPr="00F61639" w:rsidRDefault="00F61639" w:rsidP="00F61639">
            <w:pPr>
              <w:spacing w:line="240" w:lineRule="auto"/>
              <w:rPr>
                <w:color w:val="000000"/>
                <w:sz w:val="20"/>
                <w:szCs w:val="20"/>
              </w:rPr>
            </w:pPr>
            <w:r w:rsidRPr="00F61639">
              <w:rPr>
                <w:color w:val="000000"/>
                <w:sz w:val="20"/>
                <w:szCs w:val="20"/>
              </w:rPr>
              <w:t> </w:t>
            </w:r>
          </w:p>
        </w:tc>
        <w:tc>
          <w:tcPr>
            <w:tcW w:w="1350" w:type="dxa"/>
            <w:tcBorders>
              <w:top w:val="nil"/>
              <w:left w:val="nil"/>
              <w:bottom w:val="single" w:sz="8" w:space="0" w:color="A6A6A6"/>
              <w:right w:val="single" w:sz="8" w:space="0" w:color="A6A6A6"/>
            </w:tcBorders>
            <w:shd w:val="clear" w:color="auto" w:fill="auto"/>
            <w:vAlign w:val="center"/>
            <w:hideMark/>
          </w:tcPr>
          <w:p w14:paraId="5B8FF125" w14:textId="77777777" w:rsidR="00F61639" w:rsidRPr="00F61639" w:rsidRDefault="00F61639" w:rsidP="00F61639">
            <w:pPr>
              <w:spacing w:line="240" w:lineRule="auto"/>
              <w:rPr>
                <w:color w:val="000000"/>
                <w:sz w:val="20"/>
                <w:szCs w:val="20"/>
              </w:rPr>
            </w:pPr>
            <w:r w:rsidRPr="00F61639">
              <w:rPr>
                <w:color w:val="000000"/>
                <w:sz w:val="20"/>
                <w:szCs w:val="20"/>
              </w:rPr>
              <w:t> </w:t>
            </w:r>
          </w:p>
        </w:tc>
      </w:tr>
      <w:tr w:rsidR="00F346F8" w:rsidRPr="00F61639" w14:paraId="3EEB6382" w14:textId="77777777" w:rsidTr="00F346F8">
        <w:trPr>
          <w:gridAfter w:val="1"/>
          <w:wAfter w:w="1120" w:type="dxa"/>
          <w:trHeight w:val="315"/>
        </w:trPr>
        <w:tc>
          <w:tcPr>
            <w:tcW w:w="540" w:type="dxa"/>
            <w:tcBorders>
              <w:top w:val="nil"/>
              <w:left w:val="single" w:sz="8" w:space="0" w:color="A6A6A6"/>
              <w:bottom w:val="single" w:sz="8" w:space="0" w:color="A6A6A6"/>
              <w:right w:val="single" w:sz="8" w:space="0" w:color="A6A6A6"/>
            </w:tcBorders>
            <w:shd w:val="clear" w:color="auto" w:fill="auto"/>
            <w:vAlign w:val="center"/>
          </w:tcPr>
          <w:p w14:paraId="555F071C" w14:textId="77777777" w:rsidR="00F346F8" w:rsidRPr="00F61639" w:rsidRDefault="00F346F8" w:rsidP="00F61639">
            <w:pPr>
              <w:spacing w:line="240" w:lineRule="auto"/>
              <w:rPr>
                <w:b/>
                <w:bCs/>
                <w:color w:val="000000"/>
                <w:sz w:val="20"/>
                <w:szCs w:val="20"/>
              </w:rPr>
            </w:pPr>
          </w:p>
        </w:tc>
        <w:tc>
          <w:tcPr>
            <w:tcW w:w="2265" w:type="dxa"/>
            <w:tcBorders>
              <w:top w:val="nil"/>
              <w:left w:val="nil"/>
              <w:bottom w:val="single" w:sz="8" w:space="0" w:color="A6A6A6"/>
              <w:right w:val="single" w:sz="8" w:space="0" w:color="A6A6A6"/>
            </w:tcBorders>
            <w:shd w:val="clear" w:color="auto" w:fill="auto"/>
            <w:vAlign w:val="center"/>
          </w:tcPr>
          <w:p w14:paraId="39A096DD" w14:textId="4D5FA4D7" w:rsidR="00F346F8" w:rsidRPr="00F61639" w:rsidRDefault="00F346F8" w:rsidP="00F61639">
            <w:pPr>
              <w:spacing w:line="240" w:lineRule="auto"/>
              <w:rPr>
                <w:b/>
                <w:bCs/>
                <w:color w:val="000000"/>
                <w:sz w:val="20"/>
                <w:szCs w:val="20"/>
              </w:rPr>
            </w:pPr>
            <w:r w:rsidRPr="00F61639">
              <w:rPr>
                <w:b/>
                <w:bCs/>
                <w:color w:val="000000"/>
                <w:sz w:val="20"/>
                <w:szCs w:val="20"/>
              </w:rPr>
              <w:t>Single Family Program</w:t>
            </w:r>
          </w:p>
        </w:tc>
        <w:tc>
          <w:tcPr>
            <w:tcW w:w="1440" w:type="dxa"/>
            <w:tcBorders>
              <w:top w:val="nil"/>
              <w:left w:val="nil"/>
              <w:bottom w:val="single" w:sz="8" w:space="0" w:color="A6A6A6"/>
              <w:right w:val="single" w:sz="8" w:space="0" w:color="A6A6A6"/>
            </w:tcBorders>
            <w:shd w:val="clear" w:color="auto" w:fill="auto"/>
            <w:vAlign w:val="center"/>
          </w:tcPr>
          <w:p w14:paraId="60C86005" w14:textId="3FC24F34" w:rsidR="00F346F8" w:rsidRPr="00F61639" w:rsidRDefault="00F346F8" w:rsidP="00F346F8">
            <w:pPr>
              <w:spacing w:line="240" w:lineRule="auto"/>
              <w:jc w:val="right"/>
              <w:rPr>
                <w:color w:val="000000"/>
                <w:sz w:val="20"/>
                <w:szCs w:val="20"/>
              </w:rPr>
            </w:pPr>
            <w:r>
              <w:rPr>
                <w:color w:val="000000"/>
                <w:sz w:val="20"/>
                <w:szCs w:val="20"/>
              </w:rPr>
              <w:t>937,692</w:t>
            </w:r>
          </w:p>
        </w:tc>
        <w:tc>
          <w:tcPr>
            <w:tcW w:w="990" w:type="dxa"/>
            <w:tcBorders>
              <w:top w:val="nil"/>
              <w:left w:val="nil"/>
              <w:bottom w:val="single" w:sz="8" w:space="0" w:color="A6A6A6"/>
              <w:right w:val="single" w:sz="8" w:space="0" w:color="A6A6A6"/>
            </w:tcBorders>
            <w:shd w:val="clear" w:color="auto" w:fill="auto"/>
            <w:vAlign w:val="center"/>
          </w:tcPr>
          <w:p w14:paraId="02188174" w14:textId="64B5C2C1" w:rsidR="00F346F8" w:rsidRPr="00F61639" w:rsidRDefault="00F346F8" w:rsidP="00F346F8">
            <w:pPr>
              <w:spacing w:line="240" w:lineRule="auto"/>
              <w:jc w:val="right"/>
              <w:rPr>
                <w:color w:val="000000"/>
                <w:sz w:val="20"/>
                <w:szCs w:val="20"/>
              </w:rPr>
            </w:pPr>
            <w:r>
              <w:rPr>
                <w:color w:val="000000"/>
                <w:sz w:val="20"/>
                <w:szCs w:val="20"/>
              </w:rPr>
              <w:t>10%</w:t>
            </w:r>
          </w:p>
        </w:tc>
        <w:tc>
          <w:tcPr>
            <w:tcW w:w="900" w:type="dxa"/>
            <w:tcBorders>
              <w:top w:val="nil"/>
              <w:left w:val="nil"/>
              <w:bottom w:val="single" w:sz="8" w:space="0" w:color="A6A6A6"/>
              <w:right w:val="single" w:sz="8" w:space="0" w:color="A6A6A6"/>
            </w:tcBorders>
            <w:shd w:val="clear" w:color="auto" w:fill="auto"/>
            <w:vAlign w:val="center"/>
          </w:tcPr>
          <w:p w14:paraId="012AE642" w14:textId="75A460F5" w:rsidR="00F346F8" w:rsidRPr="00F61639" w:rsidRDefault="00F346F8" w:rsidP="00F346F8">
            <w:pPr>
              <w:spacing w:line="240" w:lineRule="auto"/>
              <w:jc w:val="right"/>
              <w:rPr>
                <w:color w:val="000000"/>
                <w:sz w:val="20"/>
                <w:szCs w:val="20"/>
              </w:rPr>
            </w:pPr>
            <w:r>
              <w:rPr>
                <w:color w:val="000000"/>
                <w:sz w:val="20"/>
                <w:szCs w:val="20"/>
              </w:rPr>
              <w:t>1,350</w:t>
            </w:r>
          </w:p>
        </w:tc>
        <w:tc>
          <w:tcPr>
            <w:tcW w:w="900" w:type="dxa"/>
            <w:tcBorders>
              <w:top w:val="nil"/>
              <w:left w:val="nil"/>
              <w:bottom w:val="single" w:sz="8" w:space="0" w:color="A6A6A6"/>
              <w:right w:val="single" w:sz="8" w:space="0" w:color="A6A6A6"/>
            </w:tcBorders>
            <w:shd w:val="clear" w:color="auto" w:fill="auto"/>
            <w:vAlign w:val="center"/>
          </w:tcPr>
          <w:p w14:paraId="65D01E69" w14:textId="5EC79D0F" w:rsidR="00F346F8" w:rsidRPr="00F61639" w:rsidRDefault="00F346F8" w:rsidP="00F346F8">
            <w:pPr>
              <w:spacing w:line="240" w:lineRule="auto"/>
              <w:jc w:val="right"/>
              <w:rPr>
                <w:color w:val="000000"/>
                <w:sz w:val="20"/>
                <w:szCs w:val="20"/>
              </w:rPr>
            </w:pPr>
            <w:r>
              <w:rPr>
                <w:color w:val="000000"/>
                <w:sz w:val="20"/>
                <w:szCs w:val="20"/>
              </w:rPr>
              <w:t>42%</w:t>
            </w:r>
          </w:p>
        </w:tc>
        <w:tc>
          <w:tcPr>
            <w:tcW w:w="1080" w:type="dxa"/>
            <w:tcBorders>
              <w:top w:val="nil"/>
              <w:left w:val="nil"/>
              <w:bottom w:val="single" w:sz="8" w:space="0" w:color="A6A6A6"/>
              <w:right w:val="single" w:sz="8" w:space="0" w:color="A6A6A6"/>
            </w:tcBorders>
            <w:shd w:val="clear" w:color="auto" w:fill="auto"/>
            <w:vAlign w:val="center"/>
          </w:tcPr>
          <w:p w14:paraId="7C2B87F6" w14:textId="35BC43BF" w:rsidR="00F346F8" w:rsidRPr="00F61639" w:rsidRDefault="00F346F8" w:rsidP="00F346F8">
            <w:pPr>
              <w:spacing w:line="240" w:lineRule="auto"/>
              <w:jc w:val="right"/>
              <w:rPr>
                <w:color w:val="000000"/>
                <w:sz w:val="20"/>
                <w:szCs w:val="20"/>
              </w:rPr>
            </w:pPr>
            <w:r>
              <w:rPr>
                <w:color w:val="000000"/>
                <w:sz w:val="20"/>
                <w:szCs w:val="20"/>
              </w:rPr>
              <w:t>212,575</w:t>
            </w:r>
          </w:p>
        </w:tc>
        <w:tc>
          <w:tcPr>
            <w:tcW w:w="1350" w:type="dxa"/>
            <w:tcBorders>
              <w:top w:val="nil"/>
              <w:left w:val="nil"/>
              <w:bottom w:val="single" w:sz="8" w:space="0" w:color="A6A6A6"/>
              <w:right w:val="single" w:sz="8" w:space="0" w:color="A6A6A6"/>
            </w:tcBorders>
            <w:shd w:val="clear" w:color="auto" w:fill="auto"/>
            <w:vAlign w:val="center"/>
          </w:tcPr>
          <w:p w14:paraId="2D0BF60F" w14:textId="2A499382" w:rsidR="00F346F8" w:rsidRPr="00F61639" w:rsidRDefault="00F346F8" w:rsidP="00F346F8">
            <w:pPr>
              <w:spacing w:line="240" w:lineRule="auto"/>
              <w:jc w:val="right"/>
              <w:rPr>
                <w:color w:val="000000"/>
                <w:sz w:val="20"/>
                <w:szCs w:val="20"/>
              </w:rPr>
            </w:pPr>
            <w:r>
              <w:rPr>
                <w:color w:val="000000"/>
                <w:sz w:val="20"/>
                <w:szCs w:val="20"/>
              </w:rPr>
              <w:t>28%</w:t>
            </w:r>
          </w:p>
        </w:tc>
      </w:tr>
      <w:tr w:rsidR="00F346F8" w:rsidRPr="00F61639" w14:paraId="2AA84FED" w14:textId="77777777" w:rsidTr="00F346F8">
        <w:trPr>
          <w:gridAfter w:val="1"/>
          <w:wAfter w:w="1120" w:type="dxa"/>
          <w:trHeight w:val="315"/>
        </w:trPr>
        <w:tc>
          <w:tcPr>
            <w:tcW w:w="540" w:type="dxa"/>
            <w:tcBorders>
              <w:top w:val="nil"/>
              <w:left w:val="single" w:sz="8" w:space="0" w:color="A6A6A6"/>
              <w:bottom w:val="single" w:sz="8" w:space="0" w:color="A6A6A6"/>
              <w:right w:val="single" w:sz="8" w:space="0" w:color="A6A6A6"/>
            </w:tcBorders>
            <w:shd w:val="clear" w:color="auto" w:fill="auto"/>
            <w:vAlign w:val="center"/>
            <w:hideMark/>
          </w:tcPr>
          <w:p w14:paraId="22EC4EE2" w14:textId="77777777" w:rsidR="00F346F8" w:rsidRPr="00F61639" w:rsidRDefault="00F346F8" w:rsidP="00F61639">
            <w:pPr>
              <w:spacing w:line="240" w:lineRule="auto"/>
              <w:rPr>
                <w:b/>
                <w:bCs/>
                <w:color w:val="000000"/>
                <w:sz w:val="20"/>
                <w:szCs w:val="20"/>
              </w:rPr>
            </w:pPr>
            <w:r w:rsidRPr="00F61639">
              <w:rPr>
                <w:b/>
                <w:bCs/>
                <w:color w:val="000000"/>
                <w:sz w:val="20"/>
                <w:szCs w:val="20"/>
              </w:rPr>
              <w:t> </w:t>
            </w:r>
          </w:p>
        </w:tc>
        <w:tc>
          <w:tcPr>
            <w:tcW w:w="2265" w:type="dxa"/>
            <w:tcBorders>
              <w:top w:val="nil"/>
              <w:left w:val="nil"/>
              <w:bottom w:val="single" w:sz="8" w:space="0" w:color="A6A6A6"/>
              <w:right w:val="single" w:sz="8" w:space="0" w:color="A6A6A6"/>
            </w:tcBorders>
            <w:shd w:val="clear" w:color="auto" w:fill="auto"/>
            <w:vAlign w:val="center"/>
            <w:hideMark/>
          </w:tcPr>
          <w:p w14:paraId="5E9AFB0F" w14:textId="77777777" w:rsidR="00F346F8" w:rsidRPr="00F61639" w:rsidRDefault="00F346F8" w:rsidP="00F61639">
            <w:pPr>
              <w:spacing w:line="240" w:lineRule="auto"/>
              <w:rPr>
                <w:b/>
                <w:bCs/>
                <w:color w:val="000000"/>
                <w:sz w:val="20"/>
                <w:szCs w:val="20"/>
              </w:rPr>
            </w:pPr>
            <w:r w:rsidRPr="00F61639">
              <w:rPr>
                <w:b/>
                <w:bCs/>
                <w:color w:val="000000"/>
                <w:sz w:val="20"/>
                <w:szCs w:val="20"/>
              </w:rPr>
              <w:t>Multifamily Program</w:t>
            </w:r>
          </w:p>
        </w:tc>
        <w:tc>
          <w:tcPr>
            <w:tcW w:w="1440" w:type="dxa"/>
            <w:tcBorders>
              <w:top w:val="nil"/>
              <w:left w:val="nil"/>
              <w:bottom w:val="single" w:sz="8" w:space="0" w:color="A6A6A6"/>
              <w:right w:val="single" w:sz="8" w:space="0" w:color="A6A6A6"/>
            </w:tcBorders>
            <w:shd w:val="clear" w:color="auto" w:fill="auto"/>
            <w:vAlign w:val="center"/>
            <w:hideMark/>
          </w:tcPr>
          <w:p w14:paraId="7A9E48CF" w14:textId="4B5E7E83" w:rsidR="00F346F8" w:rsidRPr="00F61639" w:rsidRDefault="00F346F8" w:rsidP="00F346F8">
            <w:pPr>
              <w:spacing w:line="240" w:lineRule="auto"/>
              <w:jc w:val="right"/>
              <w:rPr>
                <w:color w:val="000000"/>
                <w:sz w:val="20"/>
                <w:szCs w:val="20"/>
              </w:rPr>
            </w:pPr>
            <w:r>
              <w:rPr>
                <w:color w:val="000000"/>
                <w:sz w:val="20"/>
                <w:szCs w:val="20"/>
              </w:rPr>
              <w:t>6,441,432</w:t>
            </w:r>
          </w:p>
        </w:tc>
        <w:tc>
          <w:tcPr>
            <w:tcW w:w="990" w:type="dxa"/>
            <w:tcBorders>
              <w:top w:val="nil"/>
              <w:left w:val="nil"/>
              <w:bottom w:val="single" w:sz="8" w:space="0" w:color="A6A6A6"/>
              <w:right w:val="single" w:sz="8" w:space="0" w:color="A6A6A6"/>
            </w:tcBorders>
            <w:shd w:val="clear" w:color="auto" w:fill="auto"/>
            <w:vAlign w:val="center"/>
            <w:hideMark/>
          </w:tcPr>
          <w:p w14:paraId="255C2FA7" w14:textId="0AE8D87D" w:rsidR="00F346F8" w:rsidRPr="00F61639" w:rsidRDefault="00F346F8" w:rsidP="00F346F8">
            <w:pPr>
              <w:spacing w:line="240" w:lineRule="auto"/>
              <w:jc w:val="right"/>
              <w:rPr>
                <w:color w:val="000000"/>
                <w:sz w:val="20"/>
                <w:szCs w:val="20"/>
              </w:rPr>
            </w:pPr>
            <w:r>
              <w:rPr>
                <w:color w:val="000000"/>
                <w:sz w:val="20"/>
                <w:szCs w:val="20"/>
              </w:rPr>
              <w:t>69%</w:t>
            </w:r>
          </w:p>
        </w:tc>
        <w:tc>
          <w:tcPr>
            <w:tcW w:w="900" w:type="dxa"/>
            <w:tcBorders>
              <w:top w:val="nil"/>
              <w:left w:val="nil"/>
              <w:bottom w:val="single" w:sz="8" w:space="0" w:color="A6A6A6"/>
              <w:right w:val="single" w:sz="8" w:space="0" w:color="A6A6A6"/>
            </w:tcBorders>
            <w:shd w:val="clear" w:color="auto" w:fill="auto"/>
            <w:vAlign w:val="center"/>
            <w:hideMark/>
          </w:tcPr>
          <w:p w14:paraId="5C9CD649" w14:textId="39071A48" w:rsidR="00F346F8" w:rsidRPr="00F61639" w:rsidRDefault="00F346F8" w:rsidP="00F346F8">
            <w:pPr>
              <w:spacing w:line="240" w:lineRule="auto"/>
              <w:jc w:val="right"/>
              <w:rPr>
                <w:color w:val="000000"/>
                <w:sz w:val="20"/>
                <w:szCs w:val="20"/>
              </w:rPr>
            </w:pPr>
            <w:r>
              <w:rPr>
                <w:color w:val="000000"/>
                <w:sz w:val="20"/>
                <w:szCs w:val="20"/>
              </w:rPr>
              <w:t>629</w:t>
            </w:r>
          </w:p>
        </w:tc>
        <w:tc>
          <w:tcPr>
            <w:tcW w:w="900" w:type="dxa"/>
            <w:tcBorders>
              <w:top w:val="nil"/>
              <w:left w:val="nil"/>
              <w:bottom w:val="single" w:sz="8" w:space="0" w:color="A6A6A6"/>
              <w:right w:val="single" w:sz="8" w:space="0" w:color="A6A6A6"/>
            </w:tcBorders>
            <w:shd w:val="clear" w:color="auto" w:fill="auto"/>
            <w:vAlign w:val="center"/>
            <w:hideMark/>
          </w:tcPr>
          <w:p w14:paraId="07D58657" w14:textId="1A2B5618" w:rsidR="00F346F8" w:rsidRPr="00F61639" w:rsidRDefault="00F346F8" w:rsidP="00F346F8">
            <w:pPr>
              <w:spacing w:line="240" w:lineRule="auto"/>
              <w:jc w:val="right"/>
              <w:rPr>
                <w:color w:val="000000"/>
                <w:sz w:val="20"/>
                <w:szCs w:val="20"/>
              </w:rPr>
            </w:pPr>
            <w:r>
              <w:rPr>
                <w:color w:val="000000"/>
                <w:sz w:val="20"/>
                <w:szCs w:val="20"/>
              </w:rPr>
              <w:t>20%</w:t>
            </w:r>
          </w:p>
        </w:tc>
        <w:tc>
          <w:tcPr>
            <w:tcW w:w="1080" w:type="dxa"/>
            <w:tcBorders>
              <w:top w:val="nil"/>
              <w:left w:val="nil"/>
              <w:bottom w:val="single" w:sz="8" w:space="0" w:color="A6A6A6"/>
              <w:right w:val="single" w:sz="8" w:space="0" w:color="A6A6A6"/>
            </w:tcBorders>
            <w:shd w:val="clear" w:color="auto" w:fill="auto"/>
            <w:vAlign w:val="center"/>
            <w:hideMark/>
          </w:tcPr>
          <w:p w14:paraId="258F6696" w14:textId="5FACA137" w:rsidR="00F346F8" w:rsidRPr="00F61639" w:rsidRDefault="00F346F8" w:rsidP="00F346F8">
            <w:pPr>
              <w:spacing w:line="240" w:lineRule="auto"/>
              <w:jc w:val="right"/>
              <w:rPr>
                <w:color w:val="000000"/>
                <w:sz w:val="20"/>
                <w:szCs w:val="20"/>
              </w:rPr>
            </w:pPr>
            <w:r>
              <w:rPr>
                <w:color w:val="000000"/>
                <w:sz w:val="20"/>
                <w:szCs w:val="20"/>
              </w:rPr>
              <w:t>452,862</w:t>
            </w:r>
          </w:p>
        </w:tc>
        <w:tc>
          <w:tcPr>
            <w:tcW w:w="1350" w:type="dxa"/>
            <w:tcBorders>
              <w:top w:val="nil"/>
              <w:left w:val="nil"/>
              <w:bottom w:val="single" w:sz="8" w:space="0" w:color="A6A6A6"/>
              <w:right w:val="single" w:sz="8" w:space="0" w:color="A6A6A6"/>
            </w:tcBorders>
            <w:shd w:val="clear" w:color="auto" w:fill="auto"/>
            <w:vAlign w:val="center"/>
            <w:hideMark/>
          </w:tcPr>
          <w:p w14:paraId="095F5E10" w14:textId="7B6F41CD" w:rsidR="00F346F8" w:rsidRPr="00F61639" w:rsidRDefault="00F346F8" w:rsidP="00F346F8">
            <w:pPr>
              <w:spacing w:line="240" w:lineRule="auto"/>
              <w:jc w:val="right"/>
              <w:rPr>
                <w:color w:val="000000"/>
                <w:sz w:val="20"/>
                <w:szCs w:val="20"/>
              </w:rPr>
            </w:pPr>
            <w:r>
              <w:rPr>
                <w:color w:val="000000"/>
                <w:sz w:val="20"/>
                <w:szCs w:val="20"/>
              </w:rPr>
              <w:t>59%</w:t>
            </w:r>
          </w:p>
        </w:tc>
      </w:tr>
      <w:tr w:rsidR="00F346F8" w:rsidRPr="00F61639" w14:paraId="4E8A5495" w14:textId="4CA29658" w:rsidTr="00F346F8">
        <w:trPr>
          <w:trHeight w:val="315"/>
        </w:trPr>
        <w:tc>
          <w:tcPr>
            <w:tcW w:w="2805" w:type="dxa"/>
            <w:gridSpan w:val="2"/>
            <w:tcBorders>
              <w:top w:val="single" w:sz="8" w:space="0" w:color="A6A6A6"/>
              <w:left w:val="single" w:sz="8" w:space="0" w:color="A6A6A6"/>
              <w:bottom w:val="single" w:sz="8" w:space="0" w:color="A6A6A6"/>
              <w:right w:val="single" w:sz="8" w:space="0" w:color="A6A6A6"/>
            </w:tcBorders>
            <w:shd w:val="clear" w:color="auto" w:fill="auto"/>
            <w:vAlign w:val="center"/>
            <w:hideMark/>
          </w:tcPr>
          <w:p w14:paraId="160EEED9" w14:textId="77777777" w:rsidR="00F346F8" w:rsidRPr="00F61639" w:rsidRDefault="00F346F8" w:rsidP="00F61639">
            <w:pPr>
              <w:spacing w:line="240" w:lineRule="auto"/>
              <w:rPr>
                <w:b/>
                <w:bCs/>
                <w:color w:val="000000"/>
                <w:sz w:val="20"/>
                <w:szCs w:val="20"/>
              </w:rPr>
            </w:pPr>
            <w:r w:rsidRPr="00F61639">
              <w:rPr>
                <w:b/>
                <w:bCs/>
                <w:color w:val="000000"/>
                <w:sz w:val="20"/>
                <w:szCs w:val="20"/>
              </w:rPr>
              <w:t>SoCalREN</w:t>
            </w:r>
          </w:p>
        </w:tc>
        <w:tc>
          <w:tcPr>
            <w:tcW w:w="1440" w:type="dxa"/>
            <w:tcBorders>
              <w:top w:val="nil"/>
              <w:left w:val="nil"/>
              <w:bottom w:val="single" w:sz="8" w:space="0" w:color="A6A6A6"/>
              <w:right w:val="single" w:sz="8" w:space="0" w:color="A6A6A6"/>
            </w:tcBorders>
            <w:shd w:val="clear" w:color="auto" w:fill="auto"/>
            <w:vAlign w:val="center"/>
            <w:hideMark/>
          </w:tcPr>
          <w:p w14:paraId="55EDB3B4" w14:textId="4744472F" w:rsidR="00F346F8" w:rsidRPr="00F61639" w:rsidRDefault="00F346F8" w:rsidP="00F346F8">
            <w:pPr>
              <w:spacing w:line="240" w:lineRule="auto"/>
              <w:jc w:val="right"/>
              <w:rPr>
                <w:color w:val="000000"/>
                <w:sz w:val="20"/>
                <w:szCs w:val="20"/>
              </w:rPr>
            </w:pPr>
          </w:p>
        </w:tc>
        <w:tc>
          <w:tcPr>
            <w:tcW w:w="990" w:type="dxa"/>
            <w:tcBorders>
              <w:top w:val="nil"/>
              <w:left w:val="nil"/>
              <w:bottom w:val="single" w:sz="8" w:space="0" w:color="A6A6A6"/>
              <w:right w:val="single" w:sz="8" w:space="0" w:color="A6A6A6"/>
            </w:tcBorders>
            <w:shd w:val="clear" w:color="auto" w:fill="auto"/>
            <w:vAlign w:val="center"/>
            <w:hideMark/>
          </w:tcPr>
          <w:p w14:paraId="1B13D510" w14:textId="7CB1A826" w:rsidR="00F346F8" w:rsidRPr="00F61639" w:rsidRDefault="00F346F8" w:rsidP="00F346F8">
            <w:pPr>
              <w:spacing w:line="240" w:lineRule="auto"/>
              <w:jc w:val="right"/>
              <w:rPr>
                <w:color w:val="000000"/>
                <w:sz w:val="20"/>
                <w:szCs w:val="20"/>
              </w:rPr>
            </w:pPr>
          </w:p>
        </w:tc>
        <w:tc>
          <w:tcPr>
            <w:tcW w:w="900" w:type="dxa"/>
            <w:tcBorders>
              <w:top w:val="nil"/>
              <w:left w:val="nil"/>
              <w:bottom w:val="single" w:sz="8" w:space="0" w:color="A6A6A6"/>
              <w:right w:val="single" w:sz="8" w:space="0" w:color="A6A6A6"/>
            </w:tcBorders>
            <w:shd w:val="clear" w:color="auto" w:fill="auto"/>
            <w:vAlign w:val="center"/>
            <w:hideMark/>
          </w:tcPr>
          <w:p w14:paraId="62E18407" w14:textId="468CAC98" w:rsidR="00F346F8" w:rsidRPr="00F61639" w:rsidRDefault="00F346F8" w:rsidP="00F346F8">
            <w:pPr>
              <w:spacing w:line="240" w:lineRule="auto"/>
              <w:jc w:val="right"/>
              <w:rPr>
                <w:color w:val="000000"/>
                <w:sz w:val="20"/>
                <w:szCs w:val="20"/>
              </w:rPr>
            </w:pPr>
          </w:p>
        </w:tc>
        <w:tc>
          <w:tcPr>
            <w:tcW w:w="900" w:type="dxa"/>
            <w:tcBorders>
              <w:top w:val="nil"/>
              <w:left w:val="nil"/>
              <w:bottom w:val="single" w:sz="8" w:space="0" w:color="A6A6A6"/>
              <w:right w:val="single" w:sz="8" w:space="0" w:color="A6A6A6"/>
            </w:tcBorders>
            <w:shd w:val="clear" w:color="auto" w:fill="auto"/>
            <w:vAlign w:val="center"/>
            <w:hideMark/>
          </w:tcPr>
          <w:p w14:paraId="0092E9BF" w14:textId="1DC6278D" w:rsidR="00F346F8" w:rsidRPr="00F61639" w:rsidRDefault="00F346F8" w:rsidP="00F346F8">
            <w:pPr>
              <w:spacing w:line="240" w:lineRule="auto"/>
              <w:jc w:val="right"/>
              <w:rPr>
                <w:color w:val="000000"/>
                <w:sz w:val="20"/>
                <w:szCs w:val="20"/>
              </w:rPr>
            </w:pPr>
          </w:p>
        </w:tc>
        <w:tc>
          <w:tcPr>
            <w:tcW w:w="1080" w:type="dxa"/>
            <w:tcBorders>
              <w:top w:val="nil"/>
              <w:left w:val="nil"/>
              <w:bottom w:val="single" w:sz="8" w:space="0" w:color="A6A6A6"/>
              <w:right w:val="single" w:sz="8" w:space="0" w:color="A6A6A6"/>
            </w:tcBorders>
            <w:shd w:val="clear" w:color="auto" w:fill="auto"/>
            <w:vAlign w:val="center"/>
            <w:hideMark/>
          </w:tcPr>
          <w:p w14:paraId="1F1DF8C4" w14:textId="55E80804" w:rsidR="00F346F8" w:rsidRPr="00F61639" w:rsidRDefault="00F346F8" w:rsidP="00F346F8">
            <w:pPr>
              <w:spacing w:line="240" w:lineRule="auto"/>
              <w:jc w:val="right"/>
              <w:rPr>
                <w:color w:val="000000"/>
                <w:sz w:val="20"/>
                <w:szCs w:val="20"/>
              </w:rPr>
            </w:pPr>
          </w:p>
        </w:tc>
        <w:tc>
          <w:tcPr>
            <w:tcW w:w="1350" w:type="dxa"/>
            <w:tcBorders>
              <w:top w:val="nil"/>
              <w:left w:val="nil"/>
              <w:bottom w:val="single" w:sz="8" w:space="0" w:color="A6A6A6"/>
              <w:right w:val="single" w:sz="8" w:space="0" w:color="A6A6A6"/>
            </w:tcBorders>
            <w:shd w:val="clear" w:color="auto" w:fill="auto"/>
            <w:vAlign w:val="center"/>
            <w:hideMark/>
          </w:tcPr>
          <w:p w14:paraId="5BDD2968" w14:textId="41885958" w:rsidR="00F346F8" w:rsidRPr="00F61639" w:rsidRDefault="00F346F8" w:rsidP="00F346F8">
            <w:pPr>
              <w:spacing w:line="240" w:lineRule="auto"/>
              <w:jc w:val="right"/>
              <w:rPr>
                <w:color w:val="000000"/>
                <w:sz w:val="20"/>
                <w:szCs w:val="20"/>
              </w:rPr>
            </w:pPr>
          </w:p>
        </w:tc>
        <w:tc>
          <w:tcPr>
            <w:tcW w:w="1120" w:type="dxa"/>
            <w:vAlign w:val="center"/>
          </w:tcPr>
          <w:p w14:paraId="146E8471" w14:textId="1668CA56" w:rsidR="00F346F8" w:rsidRPr="00F61639" w:rsidRDefault="00F346F8">
            <w:pPr>
              <w:rPr>
                <w:rFonts w:ascii="Times New Roman" w:hAnsi="Times New Roman"/>
                <w:sz w:val="20"/>
                <w:szCs w:val="20"/>
              </w:rPr>
            </w:pPr>
            <w:r>
              <w:rPr>
                <w:color w:val="000000"/>
                <w:sz w:val="20"/>
                <w:szCs w:val="20"/>
              </w:rPr>
              <w:t> </w:t>
            </w:r>
          </w:p>
        </w:tc>
      </w:tr>
      <w:tr w:rsidR="00F346F8" w:rsidRPr="00F61639" w14:paraId="538404DD" w14:textId="77777777" w:rsidTr="00F346F8">
        <w:trPr>
          <w:gridAfter w:val="1"/>
          <w:wAfter w:w="1120" w:type="dxa"/>
          <w:trHeight w:val="315"/>
        </w:trPr>
        <w:tc>
          <w:tcPr>
            <w:tcW w:w="540" w:type="dxa"/>
            <w:tcBorders>
              <w:top w:val="nil"/>
              <w:left w:val="single" w:sz="8" w:space="0" w:color="A6A6A6"/>
              <w:bottom w:val="single" w:sz="8" w:space="0" w:color="A6A6A6"/>
              <w:right w:val="single" w:sz="8" w:space="0" w:color="A6A6A6"/>
            </w:tcBorders>
            <w:shd w:val="clear" w:color="auto" w:fill="auto"/>
            <w:vAlign w:val="center"/>
            <w:hideMark/>
          </w:tcPr>
          <w:p w14:paraId="2BDBB98A" w14:textId="77777777" w:rsidR="00F346F8" w:rsidRPr="00F61639" w:rsidRDefault="00F346F8" w:rsidP="00F61639">
            <w:pPr>
              <w:spacing w:line="240" w:lineRule="auto"/>
              <w:rPr>
                <w:b/>
                <w:bCs/>
                <w:color w:val="000000"/>
                <w:sz w:val="20"/>
                <w:szCs w:val="20"/>
              </w:rPr>
            </w:pPr>
            <w:r w:rsidRPr="00F61639">
              <w:rPr>
                <w:b/>
                <w:bCs/>
                <w:color w:val="000000"/>
                <w:sz w:val="20"/>
                <w:szCs w:val="20"/>
              </w:rPr>
              <w:t> </w:t>
            </w:r>
          </w:p>
        </w:tc>
        <w:tc>
          <w:tcPr>
            <w:tcW w:w="2265" w:type="dxa"/>
            <w:tcBorders>
              <w:top w:val="nil"/>
              <w:left w:val="nil"/>
              <w:bottom w:val="single" w:sz="8" w:space="0" w:color="A6A6A6"/>
              <w:right w:val="single" w:sz="8" w:space="0" w:color="A6A6A6"/>
            </w:tcBorders>
            <w:shd w:val="clear" w:color="auto" w:fill="auto"/>
            <w:vAlign w:val="center"/>
            <w:hideMark/>
          </w:tcPr>
          <w:p w14:paraId="27699BB5" w14:textId="77777777" w:rsidR="00F346F8" w:rsidRPr="00F61639" w:rsidRDefault="00F346F8" w:rsidP="00F61639">
            <w:pPr>
              <w:spacing w:line="240" w:lineRule="auto"/>
              <w:rPr>
                <w:b/>
                <w:bCs/>
                <w:color w:val="000000"/>
                <w:sz w:val="20"/>
                <w:szCs w:val="20"/>
              </w:rPr>
            </w:pPr>
            <w:r w:rsidRPr="00F61639">
              <w:rPr>
                <w:b/>
                <w:bCs/>
                <w:color w:val="000000"/>
                <w:sz w:val="20"/>
                <w:szCs w:val="20"/>
              </w:rPr>
              <w:t>Single Family Program</w:t>
            </w:r>
          </w:p>
        </w:tc>
        <w:tc>
          <w:tcPr>
            <w:tcW w:w="1440" w:type="dxa"/>
            <w:tcBorders>
              <w:top w:val="nil"/>
              <w:left w:val="nil"/>
              <w:bottom w:val="single" w:sz="8" w:space="0" w:color="A6A6A6"/>
              <w:right w:val="single" w:sz="8" w:space="0" w:color="A6A6A6"/>
            </w:tcBorders>
            <w:shd w:val="clear" w:color="auto" w:fill="auto"/>
            <w:vAlign w:val="center"/>
            <w:hideMark/>
          </w:tcPr>
          <w:p w14:paraId="1987278D" w14:textId="5618D89A" w:rsidR="00F346F8" w:rsidRPr="00F61639" w:rsidRDefault="00F346F8" w:rsidP="00F346F8">
            <w:pPr>
              <w:spacing w:line="240" w:lineRule="auto"/>
              <w:jc w:val="right"/>
              <w:rPr>
                <w:color w:val="000000"/>
                <w:sz w:val="20"/>
                <w:szCs w:val="20"/>
              </w:rPr>
            </w:pPr>
            <w:r>
              <w:rPr>
                <w:color w:val="000000"/>
                <w:sz w:val="20"/>
                <w:szCs w:val="20"/>
              </w:rPr>
              <w:t>373,630</w:t>
            </w:r>
          </w:p>
        </w:tc>
        <w:tc>
          <w:tcPr>
            <w:tcW w:w="990" w:type="dxa"/>
            <w:tcBorders>
              <w:top w:val="nil"/>
              <w:left w:val="nil"/>
              <w:bottom w:val="single" w:sz="8" w:space="0" w:color="A6A6A6"/>
              <w:right w:val="single" w:sz="8" w:space="0" w:color="A6A6A6"/>
            </w:tcBorders>
            <w:shd w:val="clear" w:color="auto" w:fill="auto"/>
            <w:vAlign w:val="center"/>
            <w:hideMark/>
          </w:tcPr>
          <w:p w14:paraId="710519EC" w14:textId="4961B469" w:rsidR="00F346F8" w:rsidRPr="00F61639" w:rsidRDefault="00F346F8" w:rsidP="00F346F8">
            <w:pPr>
              <w:spacing w:line="240" w:lineRule="auto"/>
              <w:jc w:val="right"/>
              <w:rPr>
                <w:color w:val="000000"/>
                <w:sz w:val="20"/>
                <w:szCs w:val="20"/>
              </w:rPr>
            </w:pPr>
            <w:r>
              <w:rPr>
                <w:color w:val="000000"/>
                <w:sz w:val="20"/>
                <w:szCs w:val="20"/>
              </w:rPr>
              <w:t>4%</w:t>
            </w:r>
          </w:p>
        </w:tc>
        <w:tc>
          <w:tcPr>
            <w:tcW w:w="900" w:type="dxa"/>
            <w:tcBorders>
              <w:top w:val="nil"/>
              <w:left w:val="nil"/>
              <w:bottom w:val="single" w:sz="8" w:space="0" w:color="A6A6A6"/>
              <w:right w:val="single" w:sz="8" w:space="0" w:color="A6A6A6"/>
            </w:tcBorders>
            <w:shd w:val="clear" w:color="auto" w:fill="auto"/>
            <w:vAlign w:val="center"/>
            <w:hideMark/>
          </w:tcPr>
          <w:p w14:paraId="6BC05A6F" w14:textId="67EC2455" w:rsidR="00F346F8" w:rsidRPr="00F61639" w:rsidRDefault="00F346F8" w:rsidP="00F346F8">
            <w:pPr>
              <w:spacing w:line="240" w:lineRule="auto"/>
              <w:jc w:val="right"/>
              <w:rPr>
                <w:color w:val="000000"/>
                <w:sz w:val="20"/>
                <w:szCs w:val="20"/>
              </w:rPr>
            </w:pPr>
            <w:r>
              <w:rPr>
                <w:color w:val="000000"/>
                <w:sz w:val="20"/>
                <w:szCs w:val="20"/>
              </w:rPr>
              <w:t>610</w:t>
            </w:r>
          </w:p>
        </w:tc>
        <w:tc>
          <w:tcPr>
            <w:tcW w:w="900" w:type="dxa"/>
            <w:tcBorders>
              <w:top w:val="nil"/>
              <w:left w:val="nil"/>
              <w:bottom w:val="single" w:sz="8" w:space="0" w:color="A6A6A6"/>
              <w:right w:val="single" w:sz="8" w:space="0" w:color="A6A6A6"/>
            </w:tcBorders>
            <w:shd w:val="clear" w:color="auto" w:fill="auto"/>
            <w:vAlign w:val="center"/>
            <w:hideMark/>
          </w:tcPr>
          <w:p w14:paraId="4D5A3D26" w14:textId="6B8AFE59" w:rsidR="00F346F8" w:rsidRPr="00F61639" w:rsidRDefault="00F346F8" w:rsidP="00F346F8">
            <w:pPr>
              <w:spacing w:line="240" w:lineRule="auto"/>
              <w:jc w:val="right"/>
              <w:rPr>
                <w:color w:val="000000"/>
                <w:sz w:val="20"/>
                <w:szCs w:val="20"/>
              </w:rPr>
            </w:pPr>
            <w:r>
              <w:rPr>
                <w:color w:val="000000"/>
                <w:sz w:val="20"/>
                <w:szCs w:val="20"/>
              </w:rPr>
              <w:t>19%</w:t>
            </w:r>
          </w:p>
        </w:tc>
        <w:tc>
          <w:tcPr>
            <w:tcW w:w="1080" w:type="dxa"/>
            <w:tcBorders>
              <w:top w:val="nil"/>
              <w:left w:val="nil"/>
              <w:bottom w:val="single" w:sz="8" w:space="0" w:color="A6A6A6"/>
              <w:right w:val="single" w:sz="8" w:space="0" w:color="A6A6A6"/>
            </w:tcBorders>
            <w:shd w:val="clear" w:color="auto" w:fill="auto"/>
            <w:vAlign w:val="center"/>
            <w:hideMark/>
          </w:tcPr>
          <w:p w14:paraId="19E8B924" w14:textId="0E2C5E8F" w:rsidR="00F346F8" w:rsidRPr="00F61639" w:rsidRDefault="00F346F8" w:rsidP="00F346F8">
            <w:pPr>
              <w:spacing w:line="240" w:lineRule="auto"/>
              <w:jc w:val="right"/>
              <w:rPr>
                <w:color w:val="000000"/>
                <w:sz w:val="20"/>
                <w:szCs w:val="20"/>
              </w:rPr>
            </w:pPr>
            <w:r>
              <w:rPr>
                <w:color w:val="000000"/>
                <w:sz w:val="20"/>
                <w:szCs w:val="20"/>
              </w:rPr>
              <w:t>37,987</w:t>
            </w:r>
          </w:p>
        </w:tc>
        <w:tc>
          <w:tcPr>
            <w:tcW w:w="1350" w:type="dxa"/>
            <w:tcBorders>
              <w:top w:val="nil"/>
              <w:left w:val="nil"/>
              <w:bottom w:val="single" w:sz="8" w:space="0" w:color="A6A6A6"/>
              <w:right w:val="single" w:sz="8" w:space="0" w:color="A6A6A6"/>
            </w:tcBorders>
            <w:shd w:val="clear" w:color="auto" w:fill="auto"/>
            <w:vAlign w:val="center"/>
            <w:hideMark/>
          </w:tcPr>
          <w:p w14:paraId="101367DB" w14:textId="318B3DCA" w:rsidR="00F346F8" w:rsidRPr="00F61639" w:rsidRDefault="00F346F8" w:rsidP="00F346F8">
            <w:pPr>
              <w:spacing w:line="240" w:lineRule="auto"/>
              <w:jc w:val="right"/>
              <w:rPr>
                <w:color w:val="000000"/>
                <w:sz w:val="20"/>
                <w:szCs w:val="20"/>
              </w:rPr>
            </w:pPr>
            <w:r>
              <w:rPr>
                <w:color w:val="000000"/>
                <w:sz w:val="20"/>
                <w:szCs w:val="20"/>
              </w:rPr>
              <w:t>5%</w:t>
            </w:r>
          </w:p>
        </w:tc>
      </w:tr>
      <w:tr w:rsidR="00F346F8" w:rsidRPr="00F61639" w14:paraId="14E2ED3D" w14:textId="77777777" w:rsidTr="00F346F8">
        <w:trPr>
          <w:gridAfter w:val="1"/>
          <w:wAfter w:w="1120" w:type="dxa"/>
          <w:trHeight w:val="315"/>
        </w:trPr>
        <w:tc>
          <w:tcPr>
            <w:tcW w:w="540" w:type="dxa"/>
            <w:tcBorders>
              <w:top w:val="nil"/>
              <w:left w:val="single" w:sz="8" w:space="0" w:color="A6A6A6"/>
              <w:bottom w:val="single" w:sz="8" w:space="0" w:color="A6A6A6"/>
              <w:right w:val="single" w:sz="8" w:space="0" w:color="A6A6A6"/>
            </w:tcBorders>
            <w:shd w:val="clear" w:color="auto" w:fill="auto"/>
            <w:vAlign w:val="center"/>
            <w:hideMark/>
          </w:tcPr>
          <w:p w14:paraId="0ABB76FE" w14:textId="77777777" w:rsidR="00F346F8" w:rsidRPr="00F61639" w:rsidRDefault="00F346F8" w:rsidP="00F61639">
            <w:pPr>
              <w:spacing w:line="240" w:lineRule="auto"/>
              <w:rPr>
                <w:b/>
                <w:bCs/>
                <w:color w:val="000000"/>
                <w:sz w:val="20"/>
                <w:szCs w:val="20"/>
              </w:rPr>
            </w:pPr>
            <w:r w:rsidRPr="00F61639">
              <w:rPr>
                <w:b/>
                <w:bCs/>
                <w:color w:val="000000"/>
                <w:sz w:val="20"/>
                <w:szCs w:val="20"/>
              </w:rPr>
              <w:t> </w:t>
            </w:r>
          </w:p>
        </w:tc>
        <w:tc>
          <w:tcPr>
            <w:tcW w:w="2265" w:type="dxa"/>
            <w:tcBorders>
              <w:top w:val="nil"/>
              <w:left w:val="nil"/>
              <w:bottom w:val="single" w:sz="8" w:space="0" w:color="A6A6A6"/>
              <w:right w:val="single" w:sz="8" w:space="0" w:color="A6A6A6"/>
            </w:tcBorders>
            <w:shd w:val="clear" w:color="auto" w:fill="auto"/>
            <w:vAlign w:val="center"/>
            <w:hideMark/>
          </w:tcPr>
          <w:p w14:paraId="54D0A68B" w14:textId="77777777" w:rsidR="00F346F8" w:rsidRPr="00F61639" w:rsidRDefault="00F346F8" w:rsidP="00F61639">
            <w:pPr>
              <w:spacing w:line="240" w:lineRule="auto"/>
              <w:rPr>
                <w:b/>
                <w:bCs/>
                <w:color w:val="000000"/>
                <w:sz w:val="20"/>
                <w:szCs w:val="20"/>
              </w:rPr>
            </w:pPr>
            <w:r w:rsidRPr="00F61639">
              <w:rPr>
                <w:b/>
                <w:bCs/>
                <w:color w:val="000000"/>
                <w:sz w:val="20"/>
                <w:szCs w:val="20"/>
              </w:rPr>
              <w:t>Multifamily Program</w:t>
            </w:r>
          </w:p>
        </w:tc>
        <w:tc>
          <w:tcPr>
            <w:tcW w:w="1440" w:type="dxa"/>
            <w:tcBorders>
              <w:top w:val="single" w:sz="8" w:space="0" w:color="A6A6A6"/>
              <w:left w:val="nil"/>
              <w:bottom w:val="single" w:sz="4" w:space="0" w:color="auto"/>
              <w:right w:val="single" w:sz="8" w:space="0" w:color="A6A6A6"/>
            </w:tcBorders>
            <w:shd w:val="clear" w:color="auto" w:fill="auto"/>
            <w:vAlign w:val="center"/>
            <w:hideMark/>
          </w:tcPr>
          <w:p w14:paraId="63920C25" w14:textId="0A771FDA" w:rsidR="00F346F8" w:rsidRPr="00F61639" w:rsidRDefault="00F346F8" w:rsidP="00F346F8">
            <w:pPr>
              <w:spacing w:line="240" w:lineRule="auto"/>
              <w:jc w:val="right"/>
              <w:rPr>
                <w:color w:val="000000"/>
                <w:sz w:val="20"/>
                <w:szCs w:val="20"/>
              </w:rPr>
            </w:pPr>
            <w:r>
              <w:rPr>
                <w:color w:val="000000"/>
                <w:sz w:val="20"/>
                <w:szCs w:val="20"/>
              </w:rPr>
              <w:t>1,627,671</w:t>
            </w:r>
          </w:p>
        </w:tc>
        <w:tc>
          <w:tcPr>
            <w:tcW w:w="990" w:type="dxa"/>
            <w:tcBorders>
              <w:top w:val="single" w:sz="8" w:space="0" w:color="A6A6A6"/>
              <w:left w:val="nil"/>
              <w:bottom w:val="single" w:sz="4" w:space="0" w:color="auto"/>
              <w:right w:val="single" w:sz="8" w:space="0" w:color="A6A6A6"/>
            </w:tcBorders>
            <w:shd w:val="clear" w:color="auto" w:fill="auto"/>
            <w:vAlign w:val="center"/>
            <w:hideMark/>
          </w:tcPr>
          <w:p w14:paraId="74E8C5A0" w14:textId="7399732E" w:rsidR="00F346F8" w:rsidRPr="00F61639" w:rsidRDefault="00F346F8" w:rsidP="00F346F8">
            <w:pPr>
              <w:spacing w:line="240" w:lineRule="auto"/>
              <w:jc w:val="right"/>
              <w:rPr>
                <w:color w:val="000000"/>
                <w:sz w:val="20"/>
                <w:szCs w:val="20"/>
              </w:rPr>
            </w:pPr>
            <w:r>
              <w:rPr>
                <w:color w:val="000000"/>
                <w:sz w:val="20"/>
                <w:szCs w:val="20"/>
              </w:rPr>
              <w:t>17%</w:t>
            </w:r>
          </w:p>
        </w:tc>
        <w:tc>
          <w:tcPr>
            <w:tcW w:w="900" w:type="dxa"/>
            <w:tcBorders>
              <w:top w:val="single" w:sz="8" w:space="0" w:color="A6A6A6"/>
              <w:left w:val="nil"/>
              <w:bottom w:val="single" w:sz="4" w:space="0" w:color="auto"/>
              <w:right w:val="single" w:sz="8" w:space="0" w:color="A6A6A6"/>
            </w:tcBorders>
            <w:shd w:val="clear" w:color="auto" w:fill="auto"/>
            <w:vAlign w:val="center"/>
            <w:hideMark/>
          </w:tcPr>
          <w:p w14:paraId="20F27154" w14:textId="0289E371" w:rsidR="00F346F8" w:rsidRPr="00F61639" w:rsidRDefault="00F346F8" w:rsidP="00F346F8">
            <w:pPr>
              <w:spacing w:line="240" w:lineRule="auto"/>
              <w:jc w:val="right"/>
              <w:rPr>
                <w:color w:val="000000"/>
                <w:sz w:val="20"/>
                <w:szCs w:val="20"/>
              </w:rPr>
            </w:pPr>
            <w:r>
              <w:rPr>
                <w:color w:val="000000"/>
                <w:sz w:val="20"/>
                <w:szCs w:val="20"/>
              </w:rPr>
              <w:t>592</w:t>
            </w:r>
          </w:p>
        </w:tc>
        <w:tc>
          <w:tcPr>
            <w:tcW w:w="900" w:type="dxa"/>
            <w:tcBorders>
              <w:top w:val="single" w:sz="8" w:space="0" w:color="A6A6A6"/>
              <w:left w:val="nil"/>
              <w:bottom w:val="single" w:sz="4" w:space="0" w:color="auto"/>
              <w:right w:val="single" w:sz="8" w:space="0" w:color="A6A6A6"/>
            </w:tcBorders>
            <w:shd w:val="clear" w:color="auto" w:fill="auto"/>
            <w:vAlign w:val="center"/>
            <w:hideMark/>
          </w:tcPr>
          <w:p w14:paraId="0FF27411" w14:textId="31C4F1B2" w:rsidR="00F346F8" w:rsidRPr="00F61639" w:rsidRDefault="00F346F8" w:rsidP="00F346F8">
            <w:pPr>
              <w:spacing w:line="240" w:lineRule="auto"/>
              <w:jc w:val="right"/>
              <w:rPr>
                <w:color w:val="000000"/>
                <w:sz w:val="20"/>
                <w:szCs w:val="20"/>
              </w:rPr>
            </w:pPr>
            <w:r>
              <w:rPr>
                <w:color w:val="000000"/>
                <w:sz w:val="20"/>
                <w:szCs w:val="20"/>
              </w:rPr>
              <w:t>19%</w:t>
            </w:r>
          </w:p>
        </w:tc>
        <w:tc>
          <w:tcPr>
            <w:tcW w:w="1080" w:type="dxa"/>
            <w:tcBorders>
              <w:top w:val="single" w:sz="8" w:space="0" w:color="A6A6A6"/>
              <w:left w:val="nil"/>
              <w:bottom w:val="single" w:sz="4" w:space="0" w:color="auto"/>
              <w:right w:val="single" w:sz="8" w:space="0" w:color="A6A6A6"/>
            </w:tcBorders>
            <w:shd w:val="clear" w:color="auto" w:fill="auto"/>
            <w:vAlign w:val="center"/>
            <w:hideMark/>
          </w:tcPr>
          <w:p w14:paraId="635B6DC4" w14:textId="045AAFBF" w:rsidR="00F346F8" w:rsidRPr="00F61639" w:rsidRDefault="00F346F8" w:rsidP="00F346F8">
            <w:pPr>
              <w:spacing w:line="240" w:lineRule="auto"/>
              <w:jc w:val="right"/>
              <w:rPr>
                <w:color w:val="000000"/>
                <w:sz w:val="20"/>
                <w:szCs w:val="20"/>
              </w:rPr>
            </w:pPr>
            <w:r>
              <w:rPr>
                <w:color w:val="000000"/>
                <w:sz w:val="20"/>
                <w:szCs w:val="20"/>
              </w:rPr>
              <w:t>59,619</w:t>
            </w:r>
          </w:p>
        </w:tc>
        <w:tc>
          <w:tcPr>
            <w:tcW w:w="1350" w:type="dxa"/>
            <w:tcBorders>
              <w:top w:val="single" w:sz="8" w:space="0" w:color="A6A6A6"/>
              <w:left w:val="nil"/>
              <w:bottom w:val="single" w:sz="4" w:space="0" w:color="auto"/>
              <w:right w:val="single" w:sz="8" w:space="0" w:color="A6A6A6"/>
            </w:tcBorders>
            <w:shd w:val="clear" w:color="auto" w:fill="auto"/>
            <w:vAlign w:val="center"/>
            <w:hideMark/>
          </w:tcPr>
          <w:p w14:paraId="458EDDE1" w14:textId="656490E1" w:rsidR="00F346F8" w:rsidRPr="00F61639" w:rsidRDefault="00F346F8" w:rsidP="00F346F8">
            <w:pPr>
              <w:spacing w:line="240" w:lineRule="auto"/>
              <w:jc w:val="right"/>
              <w:rPr>
                <w:color w:val="000000"/>
                <w:sz w:val="20"/>
                <w:szCs w:val="20"/>
              </w:rPr>
            </w:pPr>
            <w:r>
              <w:rPr>
                <w:color w:val="000000"/>
                <w:sz w:val="20"/>
                <w:szCs w:val="20"/>
              </w:rPr>
              <w:t>8%</w:t>
            </w:r>
          </w:p>
        </w:tc>
      </w:tr>
      <w:tr w:rsidR="00F346F8" w:rsidRPr="00F61639" w14:paraId="0337143B" w14:textId="77777777" w:rsidTr="00F346F8">
        <w:trPr>
          <w:gridAfter w:val="1"/>
          <w:wAfter w:w="1120" w:type="dxa"/>
          <w:trHeight w:val="315"/>
        </w:trPr>
        <w:tc>
          <w:tcPr>
            <w:tcW w:w="540" w:type="dxa"/>
            <w:tcBorders>
              <w:top w:val="nil"/>
              <w:left w:val="single" w:sz="8" w:space="0" w:color="A6A6A6"/>
              <w:bottom w:val="single" w:sz="8" w:space="0" w:color="A6A6A6"/>
              <w:right w:val="single" w:sz="8" w:space="0" w:color="A6A6A6"/>
            </w:tcBorders>
            <w:shd w:val="clear" w:color="auto" w:fill="auto"/>
            <w:vAlign w:val="center"/>
            <w:hideMark/>
          </w:tcPr>
          <w:p w14:paraId="60B3F13C" w14:textId="77777777" w:rsidR="00F346F8" w:rsidRPr="00F61639" w:rsidRDefault="00F346F8" w:rsidP="00F61639">
            <w:pPr>
              <w:spacing w:line="240" w:lineRule="auto"/>
              <w:rPr>
                <w:b/>
                <w:bCs/>
                <w:color w:val="000000"/>
                <w:sz w:val="20"/>
                <w:szCs w:val="20"/>
              </w:rPr>
            </w:pPr>
            <w:r w:rsidRPr="00F61639">
              <w:rPr>
                <w:b/>
                <w:bCs/>
                <w:color w:val="000000"/>
                <w:sz w:val="20"/>
                <w:szCs w:val="20"/>
              </w:rPr>
              <w:t> </w:t>
            </w:r>
          </w:p>
        </w:tc>
        <w:tc>
          <w:tcPr>
            <w:tcW w:w="2265" w:type="dxa"/>
            <w:tcBorders>
              <w:top w:val="nil"/>
              <w:left w:val="nil"/>
              <w:bottom w:val="single" w:sz="8" w:space="0" w:color="A6A6A6"/>
              <w:right w:val="single" w:sz="8" w:space="0" w:color="A6A6A6"/>
            </w:tcBorders>
            <w:shd w:val="clear" w:color="auto" w:fill="auto"/>
            <w:vAlign w:val="center"/>
            <w:hideMark/>
          </w:tcPr>
          <w:p w14:paraId="723A6DD9" w14:textId="77777777" w:rsidR="00F346F8" w:rsidRPr="00F61639" w:rsidRDefault="00F346F8" w:rsidP="00F61639">
            <w:pPr>
              <w:spacing w:line="240" w:lineRule="auto"/>
              <w:jc w:val="right"/>
              <w:rPr>
                <w:b/>
                <w:bCs/>
                <w:i/>
                <w:iCs/>
                <w:color w:val="000000"/>
                <w:sz w:val="20"/>
                <w:szCs w:val="20"/>
              </w:rPr>
            </w:pPr>
            <w:r w:rsidRPr="00F61639">
              <w:rPr>
                <w:b/>
                <w:bCs/>
                <w:i/>
                <w:iCs/>
                <w:color w:val="000000"/>
                <w:sz w:val="20"/>
                <w:szCs w:val="20"/>
              </w:rPr>
              <w:t>Total</w:t>
            </w:r>
          </w:p>
        </w:tc>
        <w:tc>
          <w:tcPr>
            <w:tcW w:w="1440" w:type="dxa"/>
            <w:tcBorders>
              <w:top w:val="single" w:sz="4" w:space="0" w:color="auto"/>
              <w:left w:val="nil"/>
              <w:bottom w:val="single" w:sz="8" w:space="0" w:color="A6A6A6"/>
              <w:right w:val="single" w:sz="8" w:space="0" w:color="A6A6A6"/>
            </w:tcBorders>
            <w:shd w:val="clear" w:color="auto" w:fill="auto"/>
            <w:vAlign w:val="center"/>
            <w:hideMark/>
          </w:tcPr>
          <w:p w14:paraId="469522FB" w14:textId="08C937B9" w:rsidR="00F346F8" w:rsidRPr="00F61639" w:rsidRDefault="00F346F8" w:rsidP="00F346F8">
            <w:pPr>
              <w:spacing w:line="240" w:lineRule="auto"/>
              <w:jc w:val="right"/>
              <w:rPr>
                <w:b/>
                <w:bCs/>
                <w:i/>
                <w:iCs/>
                <w:color w:val="000000"/>
                <w:sz w:val="20"/>
                <w:szCs w:val="20"/>
              </w:rPr>
            </w:pPr>
            <w:r>
              <w:rPr>
                <w:b/>
                <w:bCs/>
                <w:i/>
                <w:iCs/>
                <w:color w:val="000000"/>
                <w:sz w:val="20"/>
                <w:szCs w:val="20"/>
              </w:rPr>
              <w:t>9,380,425</w:t>
            </w:r>
          </w:p>
        </w:tc>
        <w:tc>
          <w:tcPr>
            <w:tcW w:w="990" w:type="dxa"/>
            <w:tcBorders>
              <w:top w:val="single" w:sz="4" w:space="0" w:color="auto"/>
              <w:left w:val="nil"/>
              <w:bottom w:val="single" w:sz="8" w:space="0" w:color="A6A6A6"/>
              <w:right w:val="single" w:sz="8" w:space="0" w:color="A6A6A6"/>
            </w:tcBorders>
            <w:shd w:val="clear" w:color="auto" w:fill="auto"/>
            <w:vAlign w:val="center"/>
            <w:hideMark/>
          </w:tcPr>
          <w:p w14:paraId="626BC87B" w14:textId="72F0C386" w:rsidR="00F346F8" w:rsidRPr="00F61639" w:rsidRDefault="00F346F8" w:rsidP="00F346F8">
            <w:pPr>
              <w:spacing w:line="240" w:lineRule="auto"/>
              <w:jc w:val="right"/>
              <w:rPr>
                <w:b/>
                <w:bCs/>
                <w:i/>
                <w:iCs/>
                <w:color w:val="000000"/>
                <w:sz w:val="20"/>
                <w:szCs w:val="20"/>
              </w:rPr>
            </w:pPr>
            <w:r>
              <w:rPr>
                <w:b/>
                <w:bCs/>
                <w:i/>
                <w:iCs/>
                <w:color w:val="000000"/>
                <w:sz w:val="20"/>
                <w:szCs w:val="20"/>
              </w:rPr>
              <w:t>100%</w:t>
            </w:r>
          </w:p>
        </w:tc>
        <w:tc>
          <w:tcPr>
            <w:tcW w:w="900" w:type="dxa"/>
            <w:tcBorders>
              <w:top w:val="single" w:sz="4" w:space="0" w:color="auto"/>
              <w:left w:val="nil"/>
              <w:bottom w:val="single" w:sz="8" w:space="0" w:color="A6A6A6"/>
              <w:right w:val="single" w:sz="8" w:space="0" w:color="A6A6A6"/>
            </w:tcBorders>
            <w:shd w:val="clear" w:color="auto" w:fill="auto"/>
            <w:vAlign w:val="center"/>
            <w:hideMark/>
          </w:tcPr>
          <w:p w14:paraId="5BF6F398" w14:textId="74DA3D3A" w:rsidR="00F346F8" w:rsidRPr="00F61639" w:rsidRDefault="00F346F8" w:rsidP="00F346F8">
            <w:pPr>
              <w:spacing w:line="240" w:lineRule="auto"/>
              <w:jc w:val="right"/>
              <w:rPr>
                <w:b/>
                <w:bCs/>
                <w:i/>
                <w:iCs/>
                <w:color w:val="000000"/>
                <w:sz w:val="20"/>
                <w:szCs w:val="20"/>
              </w:rPr>
            </w:pPr>
            <w:r>
              <w:rPr>
                <w:b/>
                <w:bCs/>
                <w:i/>
                <w:iCs/>
                <w:color w:val="000000"/>
                <w:sz w:val="20"/>
                <w:szCs w:val="20"/>
              </w:rPr>
              <w:t>3,181</w:t>
            </w:r>
          </w:p>
        </w:tc>
        <w:tc>
          <w:tcPr>
            <w:tcW w:w="900" w:type="dxa"/>
            <w:tcBorders>
              <w:top w:val="single" w:sz="4" w:space="0" w:color="auto"/>
              <w:left w:val="nil"/>
              <w:bottom w:val="single" w:sz="8" w:space="0" w:color="A6A6A6"/>
              <w:right w:val="single" w:sz="8" w:space="0" w:color="A6A6A6"/>
            </w:tcBorders>
            <w:shd w:val="clear" w:color="auto" w:fill="auto"/>
            <w:vAlign w:val="center"/>
            <w:hideMark/>
          </w:tcPr>
          <w:p w14:paraId="2BEBF10D" w14:textId="61607E49" w:rsidR="00F346F8" w:rsidRPr="00F61639" w:rsidRDefault="00F346F8" w:rsidP="00F346F8">
            <w:pPr>
              <w:spacing w:line="240" w:lineRule="auto"/>
              <w:jc w:val="right"/>
              <w:rPr>
                <w:b/>
                <w:bCs/>
                <w:i/>
                <w:iCs/>
                <w:color w:val="000000"/>
                <w:sz w:val="20"/>
                <w:szCs w:val="20"/>
              </w:rPr>
            </w:pPr>
            <w:r>
              <w:rPr>
                <w:b/>
                <w:bCs/>
                <w:i/>
                <w:iCs/>
                <w:color w:val="000000"/>
                <w:sz w:val="20"/>
                <w:szCs w:val="20"/>
              </w:rPr>
              <w:t>100%</w:t>
            </w:r>
          </w:p>
        </w:tc>
        <w:tc>
          <w:tcPr>
            <w:tcW w:w="1080" w:type="dxa"/>
            <w:tcBorders>
              <w:top w:val="single" w:sz="4" w:space="0" w:color="auto"/>
              <w:left w:val="nil"/>
              <w:bottom w:val="single" w:sz="8" w:space="0" w:color="A6A6A6"/>
              <w:right w:val="single" w:sz="8" w:space="0" w:color="A6A6A6"/>
            </w:tcBorders>
            <w:shd w:val="clear" w:color="auto" w:fill="auto"/>
            <w:vAlign w:val="center"/>
            <w:hideMark/>
          </w:tcPr>
          <w:p w14:paraId="158B499B" w14:textId="0A6B0F26" w:rsidR="00F346F8" w:rsidRPr="00F61639" w:rsidRDefault="00F346F8" w:rsidP="00F346F8">
            <w:pPr>
              <w:spacing w:line="240" w:lineRule="auto"/>
              <w:jc w:val="right"/>
              <w:rPr>
                <w:b/>
                <w:bCs/>
                <w:i/>
                <w:iCs/>
                <w:color w:val="000000"/>
                <w:sz w:val="20"/>
                <w:szCs w:val="20"/>
              </w:rPr>
            </w:pPr>
            <w:r>
              <w:rPr>
                <w:b/>
                <w:bCs/>
                <w:i/>
                <w:iCs/>
                <w:color w:val="000000"/>
                <w:sz w:val="20"/>
                <w:szCs w:val="20"/>
              </w:rPr>
              <w:t>763,043</w:t>
            </w:r>
          </w:p>
        </w:tc>
        <w:tc>
          <w:tcPr>
            <w:tcW w:w="1350" w:type="dxa"/>
            <w:tcBorders>
              <w:top w:val="single" w:sz="4" w:space="0" w:color="auto"/>
              <w:left w:val="nil"/>
              <w:bottom w:val="single" w:sz="8" w:space="0" w:color="A6A6A6"/>
              <w:right w:val="single" w:sz="8" w:space="0" w:color="A6A6A6"/>
            </w:tcBorders>
            <w:shd w:val="clear" w:color="auto" w:fill="auto"/>
            <w:vAlign w:val="center"/>
            <w:hideMark/>
          </w:tcPr>
          <w:p w14:paraId="1B937689" w14:textId="7A2A9A05" w:rsidR="00F346F8" w:rsidRPr="00F61639" w:rsidRDefault="00F346F8" w:rsidP="00F346F8">
            <w:pPr>
              <w:spacing w:line="240" w:lineRule="auto"/>
              <w:jc w:val="right"/>
              <w:rPr>
                <w:b/>
                <w:bCs/>
                <w:i/>
                <w:iCs/>
                <w:color w:val="000000"/>
                <w:sz w:val="20"/>
                <w:szCs w:val="20"/>
              </w:rPr>
            </w:pPr>
            <w:r>
              <w:rPr>
                <w:b/>
                <w:bCs/>
                <w:i/>
                <w:iCs/>
                <w:color w:val="000000"/>
                <w:sz w:val="20"/>
                <w:szCs w:val="20"/>
              </w:rPr>
              <w:t>100%</w:t>
            </w:r>
          </w:p>
        </w:tc>
      </w:tr>
    </w:tbl>
    <w:p w14:paraId="2C5DCF30" w14:textId="77777777" w:rsidR="00F61639" w:rsidRDefault="00F61639" w:rsidP="00F61639"/>
    <w:p w14:paraId="012C1AC6" w14:textId="77777777" w:rsidR="004B383B" w:rsidRDefault="00060AD2" w:rsidP="004B383B">
      <w:pPr>
        <w:pStyle w:val="Heading1"/>
      </w:pPr>
      <w:bookmarkStart w:id="11" w:name="_Ref454371429"/>
      <w:bookmarkStart w:id="12" w:name="_Ref454372642"/>
      <w:bookmarkStart w:id="13" w:name="_Toc455072255"/>
      <w:bookmarkStart w:id="14" w:name="_Toc456174332"/>
      <w:r>
        <w:t>Evaluation Approach</w:t>
      </w:r>
      <w:bookmarkEnd w:id="11"/>
      <w:bookmarkEnd w:id="12"/>
      <w:bookmarkEnd w:id="13"/>
      <w:bookmarkEnd w:id="14"/>
    </w:p>
    <w:p w14:paraId="140BCBCA" w14:textId="463C3A1D" w:rsidR="00E72B30" w:rsidRDefault="00060AD2" w:rsidP="004B383B">
      <w:pPr>
        <w:pStyle w:val="ParaText"/>
      </w:pPr>
      <w:r>
        <w:t xml:space="preserve">The evaluation of the REN single and multifamily programs will consist of both net and gross impact assessments. </w:t>
      </w:r>
      <w:r w:rsidR="00793A38">
        <w:t>Net savings differ from gross savings as net savings removes savin</w:t>
      </w:r>
      <w:r w:rsidR="00162F55">
        <w:t xml:space="preserve">gs from measures that would </w:t>
      </w:r>
      <w:r w:rsidR="00793A38">
        <w:t xml:space="preserve">have been </w:t>
      </w:r>
      <w:r w:rsidR="00162F55">
        <w:t xml:space="preserve">installed </w:t>
      </w:r>
      <w:r w:rsidR="00793A38">
        <w:t>without program intervention</w:t>
      </w:r>
      <w:r w:rsidR="00162F55">
        <w:t xml:space="preserve"> (</w:t>
      </w:r>
      <w:proofErr w:type="spellStart"/>
      <w:r w:rsidR="00162F55">
        <w:t>freeriders</w:t>
      </w:r>
      <w:proofErr w:type="spellEnd"/>
      <w:r w:rsidR="00162F55">
        <w:t>)</w:t>
      </w:r>
      <w:r w:rsidR="00793A38">
        <w:t xml:space="preserve">. In this manner, net savings represents </w:t>
      </w:r>
      <w:r w:rsidR="00162F55">
        <w:t xml:space="preserve">savings that can be attributed to the program, or net of free ridership (NFR). </w:t>
      </w:r>
      <w:r w:rsidR="004577CE">
        <w:t xml:space="preserve">Because the two </w:t>
      </w:r>
      <w:r w:rsidR="004E0020">
        <w:t>housing types</w:t>
      </w:r>
      <w:r w:rsidR="006A620B">
        <w:t xml:space="preserve"> and program</w:t>
      </w:r>
      <w:r w:rsidR="00EB2CF6">
        <w:t>s</w:t>
      </w:r>
      <w:r w:rsidR="004577CE">
        <w:t xml:space="preserve"> differ</w:t>
      </w:r>
      <w:r w:rsidR="004E0020">
        <w:t xml:space="preserve"> dramatically</w:t>
      </w:r>
      <w:r w:rsidR="004577CE">
        <w:t xml:space="preserve"> in </w:t>
      </w:r>
      <w:r w:rsidR="004E0020">
        <w:t xml:space="preserve">project </w:t>
      </w:r>
      <w:r w:rsidR="004577CE">
        <w:t xml:space="preserve">size and scope, the single and multifamily programs are evaluated through different methods. </w:t>
      </w:r>
      <w:r w:rsidR="007F6A78">
        <w:t>Activities</w:t>
      </w:r>
      <w:r w:rsidR="00E566C0">
        <w:t xml:space="preserve"> and outcomes</w:t>
      </w:r>
      <w:r w:rsidR="007F6A78">
        <w:t xml:space="preserve"> for the multifamily program evaluation are </w:t>
      </w:r>
      <w:r w:rsidR="00E566C0">
        <w:t xml:space="preserve">illustrated in Figure A, and </w:t>
      </w:r>
      <w:r>
        <w:t xml:space="preserve">discussed in </w:t>
      </w:r>
      <w:r w:rsidR="00E566C0">
        <w:t xml:space="preserve">more </w:t>
      </w:r>
      <w:r>
        <w:t>depth</w:t>
      </w:r>
      <w:r w:rsidR="00EB55E6">
        <w:t xml:space="preserve"> in the sections that follow</w:t>
      </w:r>
      <w:r>
        <w:t xml:space="preserve">. </w:t>
      </w:r>
    </w:p>
    <w:p w14:paraId="2395BE28" w14:textId="77777777" w:rsidR="00E566C0" w:rsidRDefault="00E566C0" w:rsidP="00BA574B">
      <w:pPr>
        <w:pStyle w:val="Caption"/>
        <w:keepNext/>
        <w:keepLines/>
      </w:pPr>
      <w:r>
        <w:lastRenderedPageBreak/>
        <w:t>Figure A. Multifamily Evaluation Activities and Outcomes</w:t>
      </w:r>
    </w:p>
    <w:p w14:paraId="42ACC53B" w14:textId="0C1EF94D" w:rsidR="00746548" w:rsidRPr="00746548" w:rsidRDefault="00162F55" w:rsidP="00746548">
      <w:r>
        <w:rPr>
          <w:noProof/>
        </w:rPr>
        <w:drawing>
          <wp:inline distT="0" distB="0" distL="0" distR="0" wp14:anchorId="21ECC1BF" wp14:editId="6E56213E">
            <wp:extent cx="5968844" cy="3712191"/>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67995" cy="3711663"/>
                    </a:xfrm>
                    <a:prstGeom prst="rect">
                      <a:avLst/>
                    </a:prstGeom>
                    <a:noFill/>
                  </pic:spPr>
                </pic:pic>
              </a:graphicData>
            </a:graphic>
          </wp:inline>
        </w:drawing>
      </w:r>
    </w:p>
    <w:p w14:paraId="0E548230" w14:textId="77777777" w:rsidR="00060AD2" w:rsidRPr="00E72B30" w:rsidRDefault="00060AD2" w:rsidP="00060AD2">
      <w:pPr>
        <w:pStyle w:val="Heading2"/>
      </w:pPr>
      <w:bookmarkStart w:id="15" w:name="_Toc455072256"/>
      <w:bookmarkStart w:id="16" w:name="_Toc456174333"/>
      <w:r>
        <w:t>Gross Savings</w:t>
      </w:r>
      <w:bookmarkEnd w:id="15"/>
      <w:bookmarkEnd w:id="16"/>
      <w:r>
        <w:t xml:space="preserve"> </w:t>
      </w:r>
    </w:p>
    <w:p w14:paraId="72764431" w14:textId="10C1E183" w:rsidR="004444FE" w:rsidRDefault="004444FE" w:rsidP="004444FE">
      <w:pPr>
        <w:pStyle w:val="Heading3"/>
      </w:pPr>
      <w:bookmarkStart w:id="17" w:name="_Toc455072257"/>
      <w:bookmarkStart w:id="18" w:name="_Toc456174334"/>
      <w:r>
        <w:t>Multifamily Program</w:t>
      </w:r>
      <w:bookmarkEnd w:id="17"/>
      <w:bookmarkEnd w:id="18"/>
    </w:p>
    <w:p w14:paraId="5B131F83" w14:textId="77777777" w:rsidR="008473C4" w:rsidRDefault="004577CE" w:rsidP="008473C4">
      <w:pPr>
        <w:pStyle w:val="ParaText"/>
      </w:pPr>
      <w:r>
        <w:t xml:space="preserve">The </w:t>
      </w:r>
      <w:r w:rsidRPr="004E0020">
        <w:rPr>
          <w:b/>
        </w:rPr>
        <w:t xml:space="preserve">multifamily program </w:t>
      </w:r>
      <w:r>
        <w:t xml:space="preserve">gross impacts will be evaluated through calibrated engineering models, using inputs verified onsite. This method requires </w:t>
      </w:r>
      <w:r w:rsidR="00EC053E">
        <w:t>four</w:t>
      </w:r>
      <w:r>
        <w:t xml:space="preserve"> </w:t>
      </w:r>
      <w:r w:rsidR="00F04B82">
        <w:t>distinct</w:t>
      </w:r>
      <w:r w:rsidR="00EC053E">
        <w:t xml:space="preserve"> evaluation activities</w:t>
      </w:r>
      <w:r w:rsidR="00F04B82">
        <w:t xml:space="preserve">: (1) </w:t>
      </w:r>
      <w:r w:rsidR="00EC053E">
        <w:t>telephone surveys, (2) site visits, (3) consumption analysis, and (4</w:t>
      </w:r>
      <w:r w:rsidR="00F04B82">
        <w:t xml:space="preserve">) simulation modeling. </w:t>
      </w:r>
    </w:p>
    <w:p w14:paraId="07ACC7A6" w14:textId="340FA3BC" w:rsidR="00613483" w:rsidRPr="00613483" w:rsidRDefault="00EC053E" w:rsidP="00613483">
      <w:pPr>
        <w:pStyle w:val="Bullet1"/>
      </w:pPr>
      <w:r>
        <w:t>Activity</w:t>
      </w:r>
      <w:r w:rsidR="008473C4">
        <w:t xml:space="preserve"> 1 – Telephone Survey and Recruitment: During the telephone rec</w:t>
      </w:r>
      <w:r>
        <w:t>ruitment for site visits</w:t>
      </w:r>
      <w:r w:rsidR="008473C4">
        <w:t xml:space="preserve">, the </w:t>
      </w:r>
      <w:r w:rsidR="00576380">
        <w:t>Evaluation Team</w:t>
      </w:r>
      <w:r w:rsidR="008473C4">
        <w:t xml:space="preserve"> will conduct a survey with property managers and owners that participated in the 2013-2015 REN multifamily programs. This survey will be used to supplement the 2013-2014 surveys of the same type for those </w:t>
      </w:r>
      <w:r w:rsidR="004B516C">
        <w:t xml:space="preserve">participants </w:t>
      </w:r>
      <w:r w:rsidR="008473C4">
        <w:t>that were not contacted during the previous effort</w:t>
      </w:r>
      <w:r w:rsidR="00613483">
        <w:t xml:space="preserve">. While the primary objective of these calls is to recruit for site visits, the </w:t>
      </w:r>
      <w:r w:rsidR="00576380">
        <w:t>Evaluation Team</w:t>
      </w:r>
      <w:r w:rsidR="00613483">
        <w:t xml:space="preserve"> has the opportunity to e</w:t>
      </w:r>
      <w:r w:rsidR="00E566C0">
        <w:t xml:space="preserve">xpand the measured </w:t>
      </w:r>
      <w:r w:rsidR="00613483">
        <w:t>sample and survey results for little incremental cost, and will do so to the extent possible. To retain consistency across evaluation efforts, the survey instrument will remain the same.</w:t>
      </w:r>
      <w:r w:rsidR="00E566C0">
        <w:rPr>
          <w:rStyle w:val="FootnoteReference"/>
        </w:rPr>
        <w:footnoteReference w:id="11"/>
      </w:r>
      <w:r w:rsidR="00613483">
        <w:t xml:space="preserve"> T</w:t>
      </w:r>
      <w:r w:rsidR="00613483" w:rsidRPr="00613483">
        <w:t>opics included the following:</w:t>
      </w:r>
    </w:p>
    <w:p w14:paraId="0A73E3BB" w14:textId="77777777" w:rsidR="00613483" w:rsidRPr="00613483" w:rsidRDefault="00613483" w:rsidP="00613483">
      <w:pPr>
        <w:pStyle w:val="Bullet2"/>
      </w:pPr>
      <w:r w:rsidRPr="00613483">
        <w:lastRenderedPageBreak/>
        <w:t>Confirmation/verification of installed measures</w:t>
      </w:r>
    </w:p>
    <w:p w14:paraId="1AF427CC" w14:textId="5709448D" w:rsidR="00613483" w:rsidRPr="00613483" w:rsidRDefault="00613483" w:rsidP="00613483">
      <w:pPr>
        <w:pStyle w:val="Bullet2"/>
      </w:pPr>
      <w:r w:rsidRPr="00613483">
        <w:t>Anticipated actions in absence of program intervention</w:t>
      </w:r>
      <w:r w:rsidR="00843DF9">
        <w:t xml:space="preserve"> </w:t>
      </w:r>
    </w:p>
    <w:p w14:paraId="23A76CB1" w14:textId="77777777" w:rsidR="00613483" w:rsidRPr="00613483" w:rsidRDefault="00613483" w:rsidP="00613483">
      <w:pPr>
        <w:pStyle w:val="Bullet2"/>
      </w:pPr>
      <w:r w:rsidRPr="00613483">
        <w:t xml:space="preserve">Importance of program education and incentives on the decision to install high efficiency equipment </w:t>
      </w:r>
    </w:p>
    <w:p w14:paraId="690182E3" w14:textId="77777777" w:rsidR="00613483" w:rsidRPr="00613483" w:rsidRDefault="00613483" w:rsidP="00613483">
      <w:pPr>
        <w:pStyle w:val="Bullet2"/>
      </w:pPr>
      <w:r w:rsidRPr="00613483">
        <w:t>Working status and estimated age of replaced units</w:t>
      </w:r>
    </w:p>
    <w:p w14:paraId="7A072E54" w14:textId="77777777" w:rsidR="00613483" w:rsidRPr="00613483" w:rsidRDefault="00613483" w:rsidP="00613483">
      <w:pPr>
        <w:pStyle w:val="Bullet2"/>
      </w:pPr>
      <w:r w:rsidRPr="00613483">
        <w:t>Timing for building maintenance/upgrades</w:t>
      </w:r>
    </w:p>
    <w:p w14:paraId="008953FD" w14:textId="77777777" w:rsidR="00613483" w:rsidRDefault="00613483" w:rsidP="00613483">
      <w:pPr>
        <w:pStyle w:val="Bullet1"/>
        <w:numPr>
          <w:ilvl w:val="0"/>
          <w:numId w:val="0"/>
        </w:numPr>
        <w:ind w:left="720"/>
      </w:pPr>
    </w:p>
    <w:p w14:paraId="2F67D3F9" w14:textId="00B59700" w:rsidR="00A03C5B" w:rsidRDefault="00EC053E" w:rsidP="00F04B82">
      <w:pPr>
        <w:pStyle w:val="Bullet1"/>
      </w:pPr>
      <w:r>
        <w:t>Activity</w:t>
      </w:r>
      <w:r w:rsidR="008473C4">
        <w:t xml:space="preserve"> 2</w:t>
      </w:r>
      <w:r w:rsidR="00F04B82">
        <w:t xml:space="preserve"> - Site Visits: Site visits will be conducted with a sample of 2013-2015 completed multifamily projects. </w:t>
      </w:r>
      <w:r w:rsidR="00063A97">
        <w:t>Projects will be randomly sampled, however, the team may use a stratified random sampling methodology if there is a logical delineation between large and small projects. In an effort to reduce nonresponse bias and encourage participation, the site visit participants will be offered an incentive</w:t>
      </w:r>
      <w:r w:rsidR="00F61639">
        <w:rPr>
          <w:rStyle w:val="FootnoteReference"/>
        </w:rPr>
        <w:footnoteReference w:id="12"/>
      </w:r>
      <w:r w:rsidR="00063A97">
        <w:t xml:space="preserve"> to assist in this effort. </w:t>
      </w:r>
      <w:r w:rsidR="00F04B82">
        <w:t>The objectives of these visits are twofold: (</w:t>
      </w:r>
      <w:r w:rsidR="00501847">
        <w:t>a</w:t>
      </w:r>
      <w:r w:rsidR="00F04B82">
        <w:t>) to verify inputs used to calculate ex ante savings, such as</w:t>
      </w:r>
      <w:r w:rsidR="00E04B62">
        <w:t xml:space="preserve"> the quantity and type of measures installed, as well as building characteristics</w:t>
      </w:r>
      <w:r w:rsidR="00F04B82">
        <w:t>, and (</w:t>
      </w:r>
      <w:r w:rsidR="00501847">
        <w:t>b</w:t>
      </w:r>
      <w:r w:rsidR="00F04B82">
        <w:t>) to collect meter numbers to access utility consumption data</w:t>
      </w:r>
      <w:r w:rsidR="00E04B62">
        <w:t xml:space="preserve"> for the entire building</w:t>
      </w:r>
      <w:r w:rsidR="00F04B82">
        <w:t>.</w:t>
      </w:r>
      <w:r w:rsidR="004E0020">
        <w:t xml:space="preserve"> </w:t>
      </w:r>
    </w:p>
    <w:p w14:paraId="3D3BC0BD" w14:textId="693914A6" w:rsidR="00A03C5B" w:rsidRDefault="004E0020" w:rsidP="00A03C5B">
      <w:pPr>
        <w:pStyle w:val="Bullet2"/>
      </w:pPr>
      <w:r>
        <w:t>When on</w:t>
      </w:r>
      <w:r w:rsidR="00843DF9">
        <w:t xml:space="preserve"> </w:t>
      </w:r>
      <w:r>
        <w:t xml:space="preserve">site, field staff will verify installation and </w:t>
      </w:r>
      <w:r w:rsidR="00501847">
        <w:t xml:space="preserve">key </w:t>
      </w:r>
      <w:r>
        <w:t xml:space="preserve">characteristics of </w:t>
      </w:r>
      <w:r w:rsidR="00501847">
        <w:t xml:space="preserve">high priority </w:t>
      </w:r>
      <w:r>
        <w:t>measures installed at the property. This approach allows a compromise between the labor intensive process of assessing all installed measures at a property, while still verifying installation and capturing characteristics of measures that most contribute to savings at the project level.</w:t>
      </w:r>
      <w:r>
        <w:rPr>
          <w:rStyle w:val="FootnoteReference"/>
        </w:rPr>
        <w:footnoteReference w:id="13"/>
      </w:r>
      <w:r>
        <w:t xml:space="preserve"> </w:t>
      </w:r>
      <w:r w:rsidR="00C57D80">
        <w:t xml:space="preserve">Any updates to building or measure attributes will be </w:t>
      </w:r>
      <w:r w:rsidR="00E566C0">
        <w:t>applied to</w:t>
      </w:r>
      <w:r w:rsidR="00C57D80">
        <w:t xml:space="preserve"> the evaluated energy simulation models and </w:t>
      </w:r>
      <w:r w:rsidR="00E566C0">
        <w:t xml:space="preserve">resulting </w:t>
      </w:r>
      <w:r w:rsidR="00C57D80">
        <w:t xml:space="preserve">ex post savings estimates. </w:t>
      </w:r>
    </w:p>
    <w:p w14:paraId="385DEA5D" w14:textId="344D3AAF" w:rsidR="00F04B82" w:rsidRDefault="00C57D80" w:rsidP="00A03C5B">
      <w:pPr>
        <w:pStyle w:val="Bullet2"/>
      </w:pPr>
      <w:r>
        <w:t>Field technicians will also collect meter numbers while on</w:t>
      </w:r>
      <w:r w:rsidR="00843DF9">
        <w:t xml:space="preserve"> </w:t>
      </w:r>
      <w:r>
        <w:t xml:space="preserve">site. During the 2013-2014 REN Impact Assessment, the </w:t>
      </w:r>
      <w:r w:rsidR="00576380">
        <w:t>Evaluation Team</w:t>
      </w:r>
      <w:r>
        <w:t xml:space="preserve"> found that tenant account numbers were not a reliable link to full property consumption data.</w:t>
      </w:r>
      <w:r>
        <w:rPr>
          <w:rStyle w:val="FootnoteReference"/>
        </w:rPr>
        <w:footnoteReference w:id="14"/>
      </w:r>
      <w:r>
        <w:t xml:space="preserve"> </w:t>
      </w:r>
      <w:r w:rsidR="00F04B82">
        <w:t xml:space="preserve"> </w:t>
      </w:r>
      <w:r>
        <w:t>At the same time, the DNV</w:t>
      </w:r>
      <w:r w:rsidR="00567E65">
        <w:t xml:space="preserve"> </w:t>
      </w:r>
      <w:r>
        <w:t>GL team contracted to store and process participa</w:t>
      </w:r>
      <w:r w:rsidR="002F691B">
        <w:t xml:space="preserve">nt consumption information determined </w:t>
      </w:r>
      <w:r w:rsidR="00A03C5B">
        <w:t xml:space="preserve">that meter numbers may be a more reliable way to capture consumption information at a building or property level, as the meter numbers do not change as utility accounts change hands. REN multifamily program administrators have been directed to capture comprehensive property meter </w:t>
      </w:r>
      <w:r w:rsidR="00501847">
        <w:t>numbers for projects starting in 2015</w:t>
      </w:r>
      <w:r w:rsidR="000F00A3">
        <w:t>;</w:t>
      </w:r>
      <w:r w:rsidR="00A03C5B">
        <w:t xml:space="preserve"> however, this evaluation </w:t>
      </w:r>
      <w:r w:rsidR="00501847">
        <w:t>captures projects prior to that directive. As such, field technicians will collect meter numbers during their on</w:t>
      </w:r>
      <w:r w:rsidR="00DF7E5A">
        <w:t>-</w:t>
      </w:r>
      <w:r w:rsidR="00501847">
        <w:t xml:space="preserve">site visits. </w:t>
      </w:r>
    </w:p>
    <w:p w14:paraId="05F4CFE6" w14:textId="77777777" w:rsidR="00801E9B" w:rsidRDefault="00EC053E" w:rsidP="0050356F">
      <w:pPr>
        <w:pStyle w:val="Bullet1"/>
      </w:pPr>
      <w:r>
        <w:lastRenderedPageBreak/>
        <w:t>Activity</w:t>
      </w:r>
      <w:r w:rsidR="008473C4">
        <w:t xml:space="preserve"> 3</w:t>
      </w:r>
      <w:r w:rsidR="00501847">
        <w:t xml:space="preserve"> - Consumption Analysis: The </w:t>
      </w:r>
      <w:r w:rsidR="00E566C0">
        <w:t xml:space="preserve">third step </w:t>
      </w:r>
      <w:r w:rsidR="00501847">
        <w:t>in the multifamily gross impact evaluation is to evaluate the completeness</w:t>
      </w:r>
      <w:r w:rsidR="00E566C0">
        <w:t xml:space="preserve"> and reasonableness</w:t>
      </w:r>
      <w:r w:rsidR="00501847">
        <w:t xml:space="preserve"> of the </w:t>
      </w:r>
      <w:r w:rsidR="00E566C0">
        <w:t xml:space="preserve">property level </w:t>
      </w:r>
      <w:r w:rsidR="00501847">
        <w:t>consum</w:t>
      </w:r>
      <w:r w:rsidR="00E566C0">
        <w:t>ption data</w:t>
      </w:r>
      <w:r w:rsidR="00501847">
        <w:t xml:space="preserve">. </w:t>
      </w:r>
      <w:r>
        <w:t xml:space="preserve">From the meter numbers obtained in Activity 2, the </w:t>
      </w:r>
      <w:r w:rsidR="00576380">
        <w:t>Evaluation Team</w:t>
      </w:r>
      <w:r>
        <w:t xml:space="preserve"> will request consumption data from the appropriate IOU through the ED contracted data management team. </w:t>
      </w:r>
      <w:r w:rsidR="00501847">
        <w:t xml:space="preserve">As mentioned above, the 2013-2014 REN Impact Assessment found uncertainty around the completeness of consumption data accessed through property account numbers. The </w:t>
      </w:r>
      <w:r w:rsidR="00576380">
        <w:t>Evaluation Team</w:t>
      </w:r>
      <w:r w:rsidR="00501847">
        <w:t xml:space="preserve"> will perform a thorough assessment of the consumption data obtained through meter numbers to ensure it contains a comprehensive </w:t>
      </w:r>
      <w:r w:rsidR="00801E9B">
        <w:t>report of energy usage at the participant site.</w:t>
      </w:r>
      <w:r>
        <w:t xml:space="preserve"> </w:t>
      </w:r>
      <w:r w:rsidR="00C85202">
        <w:t>For example, during the 2013-2014 assessment, t</w:t>
      </w:r>
      <w:r w:rsidR="00C85202" w:rsidRPr="00C85202">
        <w:t>he team evaluated the completeness of the pre</w:t>
      </w:r>
      <w:r w:rsidR="006345F6">
        <w:t>-</w:t>
      </w:r>
      <w:r w:rsidR="00C85202" w:rsidRPr="00C85202">
        <w:t>program billing data to ensure that the number of units associated with the consumption data met or exceeded the reported number of units in a project.</w:t>
      </w:r>
      <w:r w:rsidR="00C85202">
        <w:t xml:space="preserve"> </w:t>
      </w:r>
      <w:r>
        <w:t>The result of this consumption analysis will be comprehensive pre-program energy use</w:t>
      </w:r>
      <w:r w:rsidR="0011156B">
        <w:t xml:space="preserve"> at the participant property</w:t>
      </w:r>
      <w:r>
        <w:t>, which</w:t>
      </w:r>
      <w:r w:rsidR="00141B0E">
        <w:t xml:space="preserve"> will feed</w:t>
      </w:r>
      <w:r>
        <w:t xml:space="preserve"> into the simulation model (Activity 4).</w:t>
      </w:r>
      <w:r w:rsidR="0050356F">
        <w:rPr>
          <w:rStyle w:val="FootnoteReference"/>
        </w:rPr>
        <w:footnoteReference w:id="15"/>
      </w:r>
    </w:p>
    <w:p w14:paraId="1BD8636E" w14:textId="3BA53848" w:rsidR="006A2EEF" w:rsidRPr="006A2EEF" w:rsidRDefault="00EC053E" w:rsidP="006A2EEF">
      <w:pPr>
        <w:pStyle w:val="Bullet1"/>
      </w:pPr>
      <w:r>
        <w:t>Activity</w:t>
      </w:r>
      <w:r w:rsidR="008473C4">
        <w:t xml:space="preserve"> 4</w:t>
      </w:r>
      <w:r w:rsidR="00801E9B">
        <w:t xml:space="preserve"> </w:t>
      </w:r>
      <w:r w:rsidR="000807AF">
        <w:t>–</w:t>
      </w:r>
      <w:r w:rsidR="00801E9B">
        <w:t xml:space="preserve"> </w:t>
      </w:r>
      <w:r w:rsidR="000807AF">
        <w:t xml:space="preserve">Simulation Modeling: The final step in assessing gross savings is to model the </w:t>
      </w:r>
      <w:r w:rsidR="006A2EEF">
        <w:t>sites where m</w:t>
      </w:r>
      <w:r w:rsidR="00613483">
        <w:t>easures were verified onsite and</w:t>
      </w:r>
      <w:r w:rsidR="0083398F">
        <w:t xml:space="preserve"> where the team received </w:t>
      </w:r>
      <w:r w:rsidR="006A2EEF">
        <w:t>complete billing information</w:t>
      </w:r>
      <w:r w:rsidR="00613483">
        <w:t xml:space="preserve"> (results of </w:t>
      </w:r>
      <w:r>
        <w:t>Activities</w:t>
      </w:r>
      <w:r w:rsidR="00613483">
        <w:t xml:space="preserve"> 2 and 3)</w:t>
      </w:r>
      <w:r w:rsidR="006A2EEF">
        <w:t xml:space="preserve">. </w:t>
      </w:r>
      <w:r w:rsidR="006A2EEF" w:rsidRPr="006A2EEF">
        <w:t>This task will involve modelling participants’ building</w:t>
      </w:r>
      <w:r w:rsidR="000F00A3">
        <w:t xml:space="preserve"> energy usage</w:t>
      </w:r>
      <w:r w:rsidR="006A2EEF" w:rsidRPr="006A2EEF">
        <w:t xml:space="preserve"> using </w:t>
      </w:r>
      <w:proofErr w:type="spellStart"/>
      <w:r w:rsidR="006A2EEF">
        <w:t>EnergyPro</w:t>
      </w:r>
      <w:proofErr w:type="spellEnd"/>
      <w:r w:rsidR="006A2EEF">
        <w:t xml:space="preserve"> </w:t>
      </w:r>
      <w:r w:rsidR="006A2EEF" w:rsidRPr="006A2EEF">
        <w:t>simulation modelling software</w:t>
      </w:r>
      <w:r w:rsidR="00D11C52">
        <w:rPr>
          <w:rStyle w:val="FootnoteReference"/>
        </w:rPr>
        <w:footnoteReference w:id="16"/>
      </w:r>
      <w:r w:rsidR="006A2EEF" w:rsidRPr="006A2EEF">
        <w:t xml:space="preserve">, using site specific inputs verified onsite, and pre-program billing consumption data (from meter numbers collected onsite).  </w:t>
      </w:r>
      <w:r w:rsidR="00613483">
        <w:t xml:space="preserve">Additionally, the modeling team will incorporate findings from the baseline assessment (from the telephone surveys in </w:t>
      </w:r>
      <w:r>
        <w:t>Activity</w:t>
      </w:r>
      <w:r w:rsidR="00613483">
        <w:t xml:space="preserve"> 1) into the baseline assignments within the model</w:t>
      </w:r>
      <w:r w:rsidR="000F00A3">
        <w:t xml:space="preserve"> (i.e., the models can be run as early replacement or replace on burnout)</w:t>
      </w:r>
      <w:r w:rsidR="00613483">
        <w:t xml:space="preserve">. </w:t>
      </w:r>
      <w:r w:rsidR="006A2EEF" w:rsidRPr="006A2EEF">
        <w:t xml:space="preserve">These models will </w:t>
      </w:r>
      <w:r w:rsidR="00613483">
        <w:t>result in</w:t>
      </w:r>
      <w:r w:rsidR="006A2EEF" w:rsidRPr="006A2EEF">
        <w:t xml:space="preserve"> the development of site specific ex post savings estimates. </w:t>
      </w:r>
    </w:p>
    <w:p w14:paraId="576B2144" w14:textId="77777777" w:rsidR="0050356F" w:rsidRDefault="006A2EEF" w:rsidP="006A2EEF">
      <w:pPr>
        <w:pStyle w:val="ParaText"/>
      </w:pPr>
      <w:r>
        <w:t xml:space="preserve">The results of these </w:t>
      </w:r>
      <w:r w:rsidR="00EC053E">
        <w:t xml:space="preserve">four activities will provide the necessary </w:t>
      </w:r>
      <w:r>
        <w:t xml:space="preserve">inputs for </w:t>
      </w:r>
      <w:r w:rsidR="00EC053E">
        <w:t xml:space="preserve">the </w:t>
      </w:r>
      <w:r w:rsidR="00576380">
        <w:t>Evaluation Team</w:t>
      </w:r>
      <w:r w:rsidR="00EC053E">
        <w:t xml:space="preserve"> to develop</w:t>
      </w:r>
      <w:r>
        <w:t xml:space="preserve"> gross realization rates</w:t>
      </w:r>
      <w:r w:rsidR="0050356F">
        <w:t xml:space="preserve"> (GRR)</w:t>
      </w:r>
      <w:r w:rsidR="00EC053E">
        <w:t xml:space="preserve">. </w:t>
      </w:r>
      <w:r w:rsidR="0050356F">
        <w:t>Gross realization rates will be calculated as the modeled savings divided by the ex ante savings, or:</w:t>
      </w:r>
    </w:p>
    <w:p w14:paraId="43E81148" w14:textId="77777777" w:rsidR="0050356F" w:rsidRDefault="007D3FC6" w:rsidP="0050356F">
      <w:pPr>
        <w:pStyle w:val="ParaText"/>
        <w:jc w:val="center"/>
      </w:pPr>
      <m:oMathPara>
        <m:oMath>
          <m:sSub>
            <m:sSubPr>
              <m:ctrlPr>
                <w:rPr>
                  <w:rFonts w:ascii="Cambria Math" w:hAnsi="Cambria Math"/>
                  <w:i/>
                </w:rPr>
              </m:ctrlPr>
            </m:sSubPr>
            <m:e>
              <m:r>
                <w:rPr>
                  <w:rFonts w:ascii="Cambria Math" w:hAnsi="Cambria Math"/>
                </w:rPr>
                <m:t>Realization Rate</m:t>
              </m:r>
            </m:e>
            <m:sub>
              <m:r>
                <w:rPr>
                  <w:rFonts w:ascii="Cambria Math" w:hAnsi="Cambria Math"/>
                </w:rPr>
                <m:t>Gross</m:t>
              </m:r>
            </m:sub>
          </m:sSub>
          <m:r>
            <w:rPr>
              <w:rFonts w:ascii="Cambria Math" w:hAnsi="Cambria Math"/>
            </w:rPr>
            <m:t>=</m:t>
          </m:r>
          <m:f>
            <m:fPr>
              <m:type m:val="skw"/>
              <m:ctrlPr>
                <w:rPr>
                  <w:rFonts w:ascii="Cambria Math" w:hAnsi="Cambria Math"/>
                  <w:i/>
                </w:rPr>
              </m:ctrlPr>
            </m:fPr>
            <m:num>
              <m:sSub>
                <m:sSubPr>
                  <m:ctrlPr>
                    <w:rPr>
                      <w:rFonts w:ascii="Cambria Math" w:hAnsi="Cambria Math"/>
                      <w:i/>
                    </w:rPr>
                  </m:ctrlPr>
                </m:sSubPr>
                <m:e>
                  <m:r>
                    <w:rPr>
                      <w:rFonts w:ascii="Cambria Math" w:hAnsi="Cambria Math"/>
                    </w:rPr>
                    <m:t>Savings</m:t>
                  </m:r>
                </m:e>
                <m:sub>
                  <m:r>
                    <w:rPr>
                      <w:rFonts w:ascii="Cambria Math" w:hAnsi="Cambria Math"/>
                    </w:rPr>
                    <m:t>Modeled</m:t>
                  </m:r>
                </m:sub>
              </m:sSub>
            </m:num>
            <m:den>
              <m:sSub>
                <m:sSubPr>
                  <m:ctrlPr>
                    <w:rPr>
                      <w:rFonts w:ascii="Cambria Math" w:hAnsi="Cambria Math"/>
                      <w:i/>
                    </w:rPr>
                  </m:ctrlPr>
                </m:sSubPr>
                <m:e>
                  <m:r>
                    <w:rPr>
                      <w:rFonts w:ascii="Cambria Math" w:hAnsi="Cambria Math"/>
                    </w:rPr>
                    <m:t>Savings</m:t>
                  </m:r>
                </m:e>
                <m:sub>
                  <m:r>
                    <w:rPr>
                      <w:rFonts w:ascii="Cambria Math" w:hAnsi="Cambria Math"/>
                    </w:rPr>
                    <m:t>ex ante</m:t>
                  </m:r>
                </m:sub>
              </m:sSub>
            </m:den>
          </m:f>
        </m:oMath>
      </m:oMathPara>
    </w:p>
    <w:p w14:paraId="38EBE05B" w14:textId="0F7AB669" w:rsidR="00CD2F50" w:rsidRDefault="00EC053E" w:rsidP="006A2EEF">
      <w:pPr>
        <w:pStyle w:val="ParaText"/>
      </w:pPr>
      <w:r>
        <w:t>These gross realization rates will be applied</w:t>
      </w:r>
      <w:r w:rsidR="006A2EEF">
        <w:t xml:space="preserve"> to the participant population to estimate ex post gross energy and demand sav</w:t>
      </w:r>
      <w:r>
        <w:t>ings for the BayREN and SoCalREN multifamily programs.</w:t>
      </w:r>
      <w:r w:rsidR="00A64B46" w:rsidRPr="00063A97">
        <w:t xml:space="preserve"> </w:t>
      </w:r>
      <w:r w:rsidR="00063A97" w:rsidRPr="00063A97">
        <w:fldChar w:fldCharType="begin"/>
      </w:r>
      <w:r w:rsidR="00063A97" w:rsidRPr="00063A97">
        <w:instrText xml:space="preserve"> REF _Ref454967186 \h  \* MERGEFORMAT </w:instrText>
      </w:r>
      <w:r w:rsidR="00063A97" w:rsidRPr="00063A97">
        <w:fldChar w:fldCharType="separate"/>
      </w:r>
      <w:r w:rsidR="00A53E5B" w:rsidRPr="00A53E5B">
        <w:t xml:space="preserve">Table </w:t>
      </w:r>
      <w:r w:rsidR="00A53E5B" w:rsidRPr="00A53E5B">
        <w:rPr>
          <w:noProof/>
        </w:rPr>
        <w:t>C</w:t>
      </w:r>
      <w:r w:rsidR="00063A97" w:rsidRPr="00063A97">
        <w:fldChar w:fldCharType="end"/>
      </w:r>
      <w:r w:rsidR="00A64B46" w:rsidRPr="00063A97">
        <w:t xml:space="preserve">, </w:t>
      </w:r>
      <w:r w:rsidR="00A64B46">
        <w:t>provides an overview of the sample sizes and target</w:t>
      </w:r>
      <w:r w:rsidR="00063A97">
        <w:t xml:space="preserve"> sites for the </w:t>
      </w:r>
      <w:r w:rsidR="00A64B46">
        <w:t>data collection</w:t>
      </w:r>
      <w:r w:rsidR="00063A97">
        <w:t xml:space="preserve"> activit</w:t>
      </w:r>
      <w:r w:rsidR="006345F6">
        <w:t>i</w:t>
      </w:r>
      <w:r w:rsidR="00063A97">
        <w:t>es</w:t>
      </w:r>
      <w:r w:rsidR="00A64B46">
        <w:t xml:space="preserve">. </w:t>
      </w:r>
    </w:p>
    <w:p w14:paraId="4C0ADDCC" w14:textId="71B49436" w:rsidR="00CD2F50" w:rsidRPr="00CD2F50" w:rsidRDefault="00CD2F50" w:rsidP="001F5F25">
      <w:pPr>
        <w:pStyle w:val="ParaText"/>
        <w:keepNext/>
        <w:keepLines/>
        <w:jc w:val="center"/>
        <w:rPr>
          <w:b/>
        </w:rPr>
      </w:pPr>
      <w:bookmarkStart w:id="19" w:name="_Ref454967186"/>
      <w:r w:rsidRPr="00CD2F50">
        <w:rPr>
          <w:b/>
        </w:rPr>
        <w:lastRenderedPageBreak/>
        <w:t xml:space="preserve">Table </w:t>
      </w:r>
      <w:r w:rsidRPr="00CD2F50">
        <w:rPr>
          <w:b/>
        </w:rPr>
        <w:fldChar w:fldCharType="begin"/>
      </w:r>
      <w:r w:rsidRPr="00CD2F50">
        <w:rPr>
          <w:b/>
        </w:rPr>
        <w:instrText xml:space="preserve"> SEQ Table \* ALPHABETIC </w:instrText>
      </w:r>
      <w:r w:rsidRPr="00CD2F50">
        <w:rPr>
          <w:b/>
        </w:rPr>
        <w:fldChar w:fldCharType="separate"/>
      </w:r>
      <w:r w:rsidR="00A53E5B">
        <w:rPr>
          <w:b/>
          <w:noProof/>
        </w:rPr>
        <w:t>C</w:t>
      </w:r>
      <w:r w:rsidRPr="00CD2F50">
        <w:rPr>
          <w:b/>
          <w:noProof/>
        </w:rPr>
        <w:fldChar w:fldCharType="end"/>
      </w:r>
      <w:bookmarkEnd w:id="19"/>
      <w:r w:rsidRPr="00CD2F50">
        <w:rPr>
          <w:b/>
        </w:rPr>
        <w:t xml:space="preserve">. 2013-2015 </w:t>
      </w:r>
      <w:r>
        <w:rPr>
          <w:b/>
        </w:rPr>
        <w:t>Multifamily Data Collection Targets</w:t>
      </w:r>
    </w:p>
    <w:tbl>
      <w:tblPr>
        <w:tblW w:w="6513" w:type="dxa"/>
        <w:jc w:val="center"/>
        <w:tblLook w:val="04A0" w:firstRow="1" w:lastRow="0" w:firstColumn="1" w:lastColumn="0" w:noHBand="0" w:noVBand="1"/>
      </w:tblPr>
      <w:tblGrid>
        <w:gridCol w:w="2885"/>
        <w:gridCol w:w="1255"/>
        <w:gridCol w:w="1440"/>
        <w:gridCol w:w="933"/>
      </w:tblGrid>
      <w:tr w:rsidR="00CD2F50" w:rsidRPr="00CD2F50" w14:paraId="2CC280D0" w14:textId="77777777" w:rsidTr="00CD2F50">
        <w:trPr>
          <w:trHeight w:val="300"/>
          <w:jc w:val="center"/>
        </w:trPr>
        <w:tc>
          <w:tcPr>
            <w:tcW w:w="2885" w:type="dxa"/>
            <w:vMerge w:val="restart"/>
            <w:tcBorders>
              <w:top w:val="single" w:sz="8" w:space="0" w:color="A6A6A6"/>
              <w:left w:val="single" w:sz="8" w:space="0" w:color="A6A6A6"/>
              <w:bottom w:val="single" w:sz="8" w:space="0" w:color="A6A6A6"/>
              <w:right w:val="nil"/>
            </w:tcBorders>
            <w:shd w:val="clear" w:color="000000" w:fill="3F9C35"/>
            <w:vAlign w:val="center"/>
            <w:hideMark/>
          </w:tcPr>
          <w:p w14:paraId="57EBB3AC" w14:textId="77777777" w:rsidR="00CD2F50" w:rsidRPr="00CD2F50" w:rsidRDefault="00CD2F50" w:rsidP="001F5F25">
            <w:pPr>
              <w:keepNext/>
              <w:keepLines/>
              <w:spacing w:line="240" w:lineRule="auto"/>
              <w:jc w:val="center"/>
              <w:rPr>
                <w:rFonts w:ascii="Verdana" w:hAnsi="Verdana"/>
                <w:b/>
                <w:bCs/>
                <w:color w:val="FFFFFF"/>
                <w:sz w:val="20"/>
                <w:szCs w:val="20"/>
              </w:rPr>
            </w:pPr>
            <w:r w:rsidRPr="00CD2F50">
              <w:rPr>
                <w:rFonts w:ascii="Verdana" w:hAnsi="Verdana"/>
                <w:b/>
                <w:bCs/>
                <w:color w:val="FFFFFF"/>
                <w:sz w:val="20"/>
                <w:szCs w:val="20"/>
              </w:rPr>
              <w:t> </w:t>
            </w:r>
          </w:p>
        </w:tc>
        <w:tc>
          <w:tcPr>
            <w:tcW w:w="1255" w:type="dxa"/>
            <w:vMerge w:val="restart"/>
            <w:tcBorders>
              <w:top w:val="single" w:sz="8" w:space="0" w:color="A6A6A6"/>
              <w:left w:val="single" w:sz="8" w:space="0" w:color="A6A6A6"/>
              <w:bottom w:val="single" w:sz="8" w:space="0" w:color="A6A6A6"/>
              <w:right w:val="nil"/>
            </w:tcBorders>
            <w:shd w:val="clear" w:color="000000" w:fill="3F9C35"/>
            <w:vAlign w:val="center"/>
            <w:hideMark/>
          </w:tcPr>
          <w:p w14:paraId="0858C227" w14:textId="77777777" w:rsidR="00CD2F50" w:rsidRPr="00CD2F50" w:rsidRDefault="00CD2F50" w:rsidP="001F5F25">
            <w:pPr>
              <w:keepNext/>
              <w:keepLines/>
              <w:spacing w:line="240" w:lineRule="auto"/>
              <w:jc w:val="center"/>
              <w:rPr>
                <w:rFonts w:ascii="Verdana" w:hAnsi="Verdana"/>
                <w:b/>
                <w:bCs/>
                <w:color w:val="FFFFFF"/>
                <w:sz w:val="16"/>
                <w:szCs w:val="16"/>
              </w:rPr>
            </w:pPr>
            <w:r w:rsidRPr="00CD2F50">
              <w:rPr>
                <w:rFonts w:ascii="Verdana" w:hAnsi="Verdana"/>
                <w:b/>
                <w:bCs/>
                <w:color w:val="FFFFFF"/>
                <w:sz w:val="16"/>
                <w:szCs w:val="16"/>
              </w:rPr>
              <w:t>2013-2014  Completes</w:t>
            </w:r>
          </w:p>
        </w:tc>
        <w:tc>
          <w:tcPr>
            <w:tcW w:w="1440" w:type="dxa"/>
            <w:vMerge w:val="restart"/>
            <w:tcBorders>
              <w:top w:val="single" w:sz="8" w:space="0" w:color="A6A6A6"/>
              <w:left w:val="single" w:sz="8" w:space="0" w:color="A6A6A6"/>
              <w:bottom w:val="single" w:sz="8" w:space="0" w:color="A6A6A6"/>
              <w:right w:val="nil"/>
            </w:tcBorders>
            <w:shd w:val="clear" w:color="000000" w:fill="3F9C35"/>
            <w:vAlign w:val="center"/>
            <w:hideMark/>
          </w:tcPr>
          <w:p w14:paraId="501CFE86" w14:textId="77777777" w:rsidR="00CD2F50" w:rsidRPr="00CD2F50" w:rsidRDefault="00CD2F50" w:rsidP="001F5F25">
            <w:pPr>
              <w:keepNext/>
              <w:keepLines/>
              <w:spacing w:line="240" w:lineRule="auto"/>
              <w:jc w:val="center"/>
              <w:rPr>
                <w:rFonts w:ascii="Verdana" w:hAnsi="Verdana"/>
                <w:b/>
                <w:bCs/>
                <w:color w:val="FFFFFF"/>
                <w:sz w:val="16"/>
                <w:szCs w:val="16"/>
              </w:rPr>
            </w:pPr>
            <w:r w:rsidRPr="00CD2F50">
              <w:rPr>
                <w:rFonts w:ascii="Verdana" w:hAnsi="Verdana"/>
                <w:b/>
                <w:bCs/>
                <w:color w:val="FFFFFF"/>
                <w:sz w:val="16"/>
                <w:szCs w:val="16"/>
              </w:rPr>
              <w:t>2015 Target Completes</w:t>
            </w:r>
          </w:p>
        </w:tc>
        <w:tc>
          <w:tcPr>
            <w:tcW w:w="933" w:type="dxa"/>
            <w:vMerge w:val="restart"/>
            <w:tcBorders>
              <w:top w:val="single" w:sz="8" w:space="0" w:color="A6A6A6"/>
              <w:left w:val="single" w:sz="8" w:space="0" w:color="A6A6A6"/>
              <w:bottom w:val="single" w:sz="8" w:space="0" w:color="A6A6A6"/>
              <w:right w:val="nil"/>
            </w:tcBorders>
            <w:shd w:val="clear" w:color="000000" w:fill="3F9C35"/>
            <w:vAlign w:val="center"/>
            <w:hideMark/>
          </w:tcPr>
          <w:p w14:paraId="035D48E7" w14:textId="77777777" w:rsidR="00CD2F50" w:rsidRPr="00CD2F50" w:rsidRDefault="00CD2F50" w:rsidP="001F5F25">
            <w:pPr>
              <w:keepNext/>
              <w:keepLines/>
              <w:spacing w:line="240" w:lineRule="auto"/>
              <w:jc w:val="center"/>
              <w:rPr>
                <w:rFonts w:ascii="Verdana" w:hAnsi="Verdana"/>
                <w:b/>
                <w:bCs/>
                <w:color w:val="FFFFFF"/>
                <w:sz w:val="16"/>
                <w:szCs w:val="16"/>
              </w:rPr>
            </w:pPr>
            <w:r w:rsidRPr="00CD2F50">
              <w:rPr>
                <w:rFonts w:ascii="Verdana" w:hAnsi="Verdana"/>
                <w:b/>
                <w:bCs/>
                <w:color w:val="FFFFFF"/>
                <w:sz w:val="16"/>
                <w:szCs w:val="16"/>
              </w:rPr>
              <w:t>Total</w:t>
            </w:r>
          </w:p>
        </w:tc>
      </w:tr>
      <w:tr w:rsidR="00CD2F50" w:rsidRPr="00CD2F50" w14:paraId="45BE633F" w14:textId="77777777" w:rsidTr="00CD2F50">
        <w:trPr>
          <w:trHeight w:val="315"/>
          <w:jc w:val="center"/>
        </w:trPr>
        <w:tc>
          <w:tcPr>
            <w:tcW w:w="2885" w:type="dxa"/>
            <w:vMerge/>
            <w:tcBorders>
              <w:top w:val="single" w:sz="8" w:space="0" w:color="A6A6A6"/>
              <w:left w:val="single" w:sz="8" w:space="0" w:color="A6A6A6"/>
              <w:bottom w:val="single" w:sz="8" w:space="0" w:color="A6A6A6"/>
              <w:right w:val="nil"/>
            </w:tcBorders>
            <w:vAlign w:val="center"/>
            <w:hideMark/>
          </w:tcPr>
          <w:p w14:paraId="3CD47C8F" w14:textId="77777777" w:rsidR="00CD2F50" w:rsidRPr="00CD2F50" w:rsidRDefault="00CD2F50" w:rsidP="001F5F25">
            <w:pPr>
              <w:keepNext/>
              <w:keepLines/>
              <w:spacing w:line="240" w:lineRule="auto"/>
              <w:rPr>
                <w:rFonts w:ascii="Verdana" w:hAnsi="Verdana"/>
                <w:b/>
                <w:bCs/>
                <w:color w:val="FFFFFF"/>
                <w:sz w:val="20"/>
                <w:szCs w:val="20"/>
              </w:rPr>
            </w:pPr>
          </w:p>
        </w:tc>
        <w:tc>
          <w:tcPr>
            <w:tcW w:w="1255" w:type="dxa"/>
            <w:vMerge/>
            <w:tcBorders>
              <w:top w:val="single" w:sz="8" w:space="0" w:color="A6A6A6"/>
              <w:left w:val="single" w:sz="8" w:space="0" w:color="A6A6A6"/>
              <w:bottom w:val="single" w:sz="8" w:space="0" w:color="A6A6A6"/>
              <w:right w:val="nil"/>
            </w:tcBorders>
            <w:vAlign w:val="center"/>
            <w:hideMark/>
          </w:tcPr>
          <w:p w14:paraId="3EBB615A" w14:textId="77777777" w:rsidR="00CD2F50" w:rsidRPr="00CD2F50" w:rsidRDefault="00CD2F50" w:rsidP="001F5F25">
            <w:pPr>
              <w:keepNext/>
              <w:keepLines/>
              <w:spacing w:line="240" w:lineRule="auto"/>
              <w:rPr>
                <w:rFonts w:ascii="Verdana" w:hAnsi="Verdana"/>
                <w:b/>
                <w:bCs/>
                <w:color w:val="FFFFFF"/>
                <w:sz w:val="20"/>
                <w:szCs w:val="20"/>
              </w:rPr>
            </w:pPr>
          </w:p>
        </w:tc>
        <w:tc>
          <w:tcPr>
            <w:tcW w:w="1440" w:type="dxa"/>
            <w:vMerge/>
            <w:tcBorders>
              <w:top w:val="single" w:sz="8" w:space="0" w:color="A6A6A6"/>
              <w:left w:val="single" w:sz="8" w:space="0" w:color="A6A6A6"/>
              <w:bottom w:val="single" w:sz="8" w:space="0" w:color="A6A6A6"/>
              <w:right w:val="nil"/>
            </w:tcBorders>
            <w:vAlign w:val="center"/>
            <w:hideMark/>
          </w:tcPr>
          <w:p w14:paraId="359286A6" w14:textId="77777777" w:rsidR="00CD2F50" w:rsidRPr="00CD2F50" w:rsidRDefault="00CD2F50" w:rsidP="001F5F25">
            <w:pPr>
              <w:keepNext/>
              <w:keepLines/>
              <w:spacing w:line="240" w:lineRule="auto"/>
              <w:rPr>
                <w:rFonts w:ascii="Verdana" w:hAnsi="Verdana"/>
                <w:b/>
                <w:bCs/>
                <w:color w:val="FFFFFF"/>
                <w:sz w:val="20"/>
                <w:szCs w:val="20"/>
              </w:rPr>
            </w:pPr>
          </w:p>
        </w:tc>
        <w:tc>
          <w:tcPr>
            <w:tcW w:w="933" w:type="dxa"/>
            <w:vMerge/>
            <w:tcBorders>
              <w:top w:val="single" w:sz="8" w:space="0" w:color="A6A6A6"/>
              <w:left w:val="single" w:sz="8" w:space="0" w:color="A6A6A6"/>
              <w:bottom w:val="single" w:sz="8" w:space="0" w:color="A6A6A6"/>
              <w:right w:val="nil"/>
            </w:tcBorders>
            <w:vAlign w:val="center"/>
            <w:hideMark/>
          </w:tcPr>
          <w:p w14:paraId="514456AF" w14:textId="77777777" w:rsidR="00CD2F50" w:rsidRPr="00CD2F50" w:rsidRDefault="00CD2F50" w:rsidP="001F5F25">
            <w:pPr>
              <w:keepNext/>
              <w:keepLines/>
              <w:spacing w:line="240" w:lineRule="auto"/>
              <w:rPr>
                <w:rFonts w:ascii="Verdana" w:hAnsi="Verdana"/>
                <w:b/>
                <w:bCs/>
                <w:color w:val="FFFFFF"/>
                <w:sz w:val="20"/>
                <w:szCs w:val="20"/>
              </w:rPr>
            </w:pPr>
          </w:p>
        </w:tc>
      </w:tr>
      <w:tr w:rsidR="00CD2F50" w:rsidRPr="00CD2F50" w14:paraId="417B1F9D" w14:textId="77777777" w:rsidTr="00CD2F50">
        <w:trPr>
          <w:trHeight w:val="315"/>
          <w:jc w:val="center"/>
        </w:trPr>
        <w:tc>
          <w:tcPr>
            <w:tcW w:w="2885" w:type="dxa"/>
            <w:tcBorders>
              <w:top w:val="nil"/>
              <w:left w:val="single" w:sz="8" w:space="0" w:color="A6A6A6"/>
              <w:bottom w:val="single" w:sz="8" w:space="0" w:color="A6A6A6"/>
              <w:right w:val="single" w:sz="8" w:space="0" w:color="A6A6A6"/>
            </w:tcBorders>
            <w:shd w:val="clear" w:color="auto" w:fill="auto"/>
            <w:vAlign w:val="center"/>
            <w:hideMark/>
          </w:tcPr>
          <w:p w14:paraId="33F24267" w14:textId="0F7AC95C" w:rsidR="00CD2F50" w:rsidRPr="00CD2F50" w:rsidRDefault="00CD2F50" w:rsidP="00C52279">
            <w:pPr>
              <w:keepNext/>
              <w:keepLines/>
              <w:spacing w:line="240" w:lineRule="auto"/>
              <w:rPr>
                <w:color w:val="000000"/>
                <w:sz w:val="20"/>
                <w:szCs w:val="20"/>
              </w:rPr>
            </w:pPr>
            <w:r w:rsidRPr="00CD2F50">
              <w:rPr>
                <w:color w:val="000000"/>
                <w:sz w:val="20"/>
                <w:szCs w:val="20"/>
              </w:rPr>
              <w:t xml:space="preserve">Total Participant Projects = </w:t>
            </w:r>
            <w:r w:rsidR="00C52279" w:rsidRPr="00CD2F50">
              <w:rPr>
                <w:color w:val="000000"/>
                <w:sz w:val="20"/>
                <w:szCs w:val="20"/>
              </w:rPr>
              <w:t>24</w:t>
            </w:r>
            <w:r w:rsidR="00C52279">
              <w:rPr>
                <w:color w:val="000000"/>
                <w:sz w:val="20"/>
                <w:szCs w:val="20"/>
              </w:rPr>
              <w:t>8</w:t>
            </w:r>
          </w:p>
        </w:tc>
        <w:tc>
          <w:tcPr>
            <w:tcW w:w="1255" w:type="dxa"/>
            <w:tcBorders>
              <w:top w:val="nil"/>
              <w:left w:val="nil"/>
              <w:bottom w:val="single" w:sz="8" w:space="0" w:color="A6A6A6"/>
              <w:right w:val="single" w:sz="8" w:space="0" w:color="A6A6A6"/>
            </w:tcBorders>
            <w:shd w:val="clear" w:color="auto" w:fill="auto"/>
            <w:vAlign w:val="center"/>
            <w:hideMark/>
          </w:tcPr>
          <w:p w14:paraId="6FEA2D13" w14:textId="77777777" w:rsidR="00CD2F50" w:rsidRPr="00CD2F50" w:rsidRDefault="00CD2F50" w:rsidP="001F5F25">
            <w:pPr>
              <w:keepNext/>
              <w:keepLines/>
              <w:spacing w:line="240" w:lineRule="auto"/>
              <w:rPr>
                <w:color w:val="000000"/>
                <w:sz w:val="20"/>
                <w:szCs w:val="20"/>
              </w:rPr>
            </w:pPr>
            <w:r w:rsidRPr="00CD2F50">
              <w:rPr>
                <w:color w:val="000000"/>
                <w:sz w:val="20"/>
                <w:szCs w:val="20"/>
              </w:rPr>
              <w:t> </w:t>
            </w:r>
          </w:p>
        </w:tc>
        <w:tc>
          <w:tcPr>
            <w:tcW w:w="1440" w:type="dxa"/>
            <w:tcBorders>
              <w:top w:val="nil"/>
              <w:left w:val="nil"/>
              <w:bottom w:val="single" w:sz="8" w:space="0" w:color="A6A6A6"/>
              <w:right w:val="single" w:sz="8" w:space="0" w:color="A6A6A6"/>
            </w:tcBorders>
            <w:shd w:val="clear" w:color="auto" w:fill="auto"/>
            <w:vAlign w:val="center"/>
            <w:hideMark/>
          </w:tcPr>
          <w:p w14:paraId="05D032EF" w14:textId="77777777" w:rsidR="00CD2F50" w:rsidRPr="00CD2F50" w:rsidRDefault="00CD2F50" w:rsidP="001F5F25">
            <w:pPr>
              <w:keepNext/>
              <w:keepLines/>
              <w:spacing w:line="240" w:lineRule="auto"/>
              <w:rPr>
                <w:color w:val="000000"/>
                <w:sz w:val="20"/>
                <w:szCs w:val="20"/>
              </w:rPr>
            </w:pPr>
            <w:r w:rsidRPr="00CD2F50">
              <w:rPr>
                <w:color w:val="000000"/>
                <w:sz w:val="20"/>
                <w:szCs w:val="20"/>
              </w:rPr>
              <w:t> </w:t>
            </w:r>
          </w:p>
        </w:tc>
        <w:tc>
          <w:tcPr>
            <w:tcW w:w="933" w:type="dxa"/>
            <w:tcBorders>
              <w:top w:val="nil"/>
              <w:left w:val="nil"/>
              <w:bottom w:val="single" w:sz="8" w:space="0" w:color="A6A6A6"/>
              <w:right w:val="single" w:sz="8" w:space="0" w:color="A6A6A6"/>
            </w:tcBorders>
            <w:shd w:val="clear" w:color="auto" w:fill="auto"/>
            <w:vAlign w:val="center"/>
            <w:hideMark/>
          </w:tcPr>
          <w:p w14:paraId="1F3EA636" w14:textId="77777777" w:rsidR="00CD2F50" w:rsidRPr="00CD2F50" w:rsidRDefault="00CD2F50" w:rsidP="001F5F25">
            <w:pPr>
              <w:keepNext/>
              <w:keepLines/>
              <w:spacing w:line="240" w:lineRule="auto"/>
              <w:rPr>
                <w:color w:val="000000"/>
                <w:sz w:val="20"/>
                <w:szCs w:val="20"/>
              </w:rPr>
            </w:pPr>
            <w:r w:rsidRPr="00CD2F50">
              <w:rPr>
                <w:color w:val="000000"/>
                <w:sz w:val="20"/>
                <w:szCs w:val="20"/>
              </w:rPr>
              <w:t> </w:t>
            </w:r>
          </w:p>
        </w:tc>
      </w:tr>
      <w:tr w:rsidR="00CD2F50" w:rsidRPr="00CD2F50" w14:paraId="23D08D16" w14:textId="77777777" w:rsidTr="00CD2F50">
        <w:trPr>
          <w:trHeight w:val="315"/>
          <w:jc w:val="center"/>
        </w:trPr>
        <w:tc>
          <w:tcPr>
            <w:tcW w:w="2885" w:type="dxa"/>
            <w:tcBorders>
              <w:top w:val="nil"/>
              <w:left w:val="single" w:sz="8" w:space="0" w:color="A6A6A6"/>
              <w:bottom w:val="single" w:sz="8" w:space="0" w:color="A6A6A6"/>
              <w:right w:val="single" w:sz="8" w:space="0" w:color="A6A6A6"/>
            </w:tcBorders>
            <w:shd w:val="clear" w:color="auto" w:fill="auto"/>
            <w:vAlign w:val="center"/>
            <w:hideMark/>
          </w:tcPr>
          <w:p w14:paraId="2B789424" w14:textId="77777777" w:rsidR="00CD2F50" w:rsidRPr="00CD2F50" w:rsidRDefault="00CD2F50" w:rsidP="001F5F25">
            <w:pPr>
              <w:keepNext/>
              <w:keepLines/>
              <w:spacing w:line="240" w:lineRule="auto"/>
              <w:rPr>
                <w:color w:val="000000"/>
                <w:sz w:val="20"/>
                <w:szCs w:val="20"/>
              </w:rPr>
            </w:pPr>
            <w:r w:rsidRPr="00CD2F50">
              <w:rPr>
                <w:color w:val="000000"/>
                <w:sz w:val="20"/>
                <w:szCs w:val="20"/>
              </w:rPr>
              <w:t>Telephone Surveys</w:t>
            </w:r>
          </w:p>
        </w:tc>
        <w:tc>
          <w:tcPr>
            <w:tcW w:w="1255" w:type="dxa"/>
            <w:tcBorders>
              <w:top w:val="nil"/>
              <w:left w:val="nil"/>
              <w:bottom w:val="single" w:sz="8" w:space="0" w:color="A6A6A6"/>
              <w:right w:val="single" w:sz="8" w:space="0" w:color="A6A6A6"/>
            </w:tcBorders>
            <w:shd w:val="clear" w:color="auto" w:fill="auto"/>
            <w:vAlign w:val="center"/>
            <w:hideMark/>
          </w:tcPr>
          <w:p w14:paraId="4BD7F534" w14:textId="77777777" w:rsidR="00CD2F50" w:rsidRPr="00CD2F50" w:rsidRDefault="00CD2F50" w:rsidP="001F5F25">
            <w:pPr>
              <w:keepNext/>
              <w:keepLines/>
              <w:spacing w:line="240" w:lineRule="auto"/>
              <w:jc w:val="right"/>
              <w:rPr>
                <w:color w:val="000000"/>
                <w:sz w:val="20"/>
                <w:szCs w:val="20"/>
              </w:rPr>
            </w:pPr>
            <w:r w:rsidRPr="00CD2F50">
              <w:rPr>
                <w:color w:val="000000"/>
                <w:sz w:val="20"/>
                <w:szCs w:val="20"/>
              </w:rPr>
              <w:t>43</w:t>
            </w:r>
          </w:p>
        </w:tc>
        <w:tc>
          <w:tcPr>
            <w:tcW w:w="1440" w:type="dxa"/>
            <w:tcBorders>
              <w:top w:val="nil"/>
              <w:left w:val="nil"/>
              <w:bottom w:val="single" w:sz="8" w:space="0" w:color="A6A6A6"/>
              <w:right w:val="single" w:sz="8" w:space="0" w:color="A6A6A6"/>
            </w:tcBorders>
            <w:shd w:val="clear" w:color="auto" w:fill="auto"/>
            <w:vAlign w:val="center"/>
            <w:hideMark/>
          </w:tcPr>
          <w:p w14:paraId="36E6BAB6" w14:textId="77777777" w:rsidR="00CD2F50" w:rsidRPr="00CD2F50" w:rsidRDefault="00CD2F50" w:rsidP="001F5F25">
            <w:pPr>
              <w:keepNext/>
              <w:keepLines/>
              <w:spacing w:line="240" w:lineRule="auto"/>
              <w:jc w:val="right"/>
              <w:rPr>
                <w:color w:val="000000"/>
                <w:sz w:val="20"/>
                <w:szCs w:val="20"/>
              </w:rPr>
            </w:pPr>
            <w:r w:rsidRPr="00CD2F50">
              <w:rPr>
                <w:color w:val="000000"/>
                <w:sz w:val="20"/>
                <w:szCs w:val="20"/>
              </w:rPr>
              <w:t>27</w:t>
            </w:r>
          </w:p>
        </w:tc>
        <w:tc>
          <w:tcPr>
            <w:tcW w:w="933" w:type="dxa"/>
            <w:tcBorders>
              <w:top w:val="nil"/>
              <w:left w:val="nil"/>
              <w:bottom w:val="single" w:sz="8" w:space="0" w:color="A6A6A6"/>
              <w:right w:val="single" w:sz="8" w:space="0" w:color="A6A6A6"/>
            </w:tcBorders>
            <w:shd w:val="clear" w:color="auto" w:fill="auto"/>
            <w:vAlign w:val="center"/>
            <w:hideMark/>
          </w:tcPr>
          <w:p w14:paraId="4C95A465" w14:textId="77777777" w:rsidR="00CD2F50" w:rsidRPr="00CD2F50" w:rsidRDefault="00CD2F50" w:rsidP="001F5F25">
            <w:pPr>
              <w:keepNext/>
              <w:keepLines/>
              <w:spacing w:line="240" w:lineRule="auto"/>
              <w:jc w:val="right"/>
              <w:rPr>
                <w:color w:val="000000"/>
                <w:sz w:val="20"/>
                <w:szCs w:val="20"/>
              </w:rPr>
            </w:pPr>
            <w:r w:rsidRPr="00CD2F50">
              <w:rPr>
                <w:color w:val="000000"/>
                <w:sz w:val="20"/>
                <w:szCs w:val="20"/>
              </w:rPr>
              <w:t>70</w:t>
            </w:r>
          </w:p>
        </w:tc>
      </w:tr>
      <w:tr w:rsidR="00CD2F50" w:rsidRPr="00CD2F50" w14:paraId="71A59D36" w14:textId="77777777" w:rsidTr="00CD2F50">
        <w:trPr>
          <w:trHeight w:val="315"/>
          <w:jc w:val="center"/>
        </w:trPr>
        <w:tc>
          <w:tcPr>
            <w:tcW w:w="2885" w:type="dxa"/>
            <w:tcBorders>
              <w:top w:val="nil"/>
              <w:left w:val="single" w:sz="8" w:space="0" w:color="A6A6A6"/>
              <w:bottom w:val="single" w:sz="8" w:space="0" w:color="A6A6A6"/>
              <w:right w:val="single" w:sz="8" w:space="0" w:color="A6A6A6"/>
            </w:tcBorders>
            <w:shd w:val="clear" w:color="auto" w:fill="auto"/>
            <w:vAlign w:val="center"/>
            <w:hideMark/>
          </w:tcPr>
          <w:p w14:paraId="12C14908" w14:textId="77777777" w:rsidR="00CD2F50" w:rsidRPr="00CD2F50" w:rsidRDefault="00CD2F50" w:rsidP="001F5F25">
            <w:pPr>
              <w:keepNext/>
              <w:keepLines/>
              <w:spacing w:line="240" w:lineRule="auto"/>
              <w:rPr>
                <w:color w:val="000000"/>
                <w:sz w:val="20"/>
                <w:szCs w:val="20"/>
              </w:rPr>
            </w:pPr>
            <w:r w:rsidRPr="00CD2F50">
              <w:rPr>
                <w:color w:val="000000"/>
                <w:sz w:val="20"/>
                <w:szCs w:val="20"/>
              </w:rPr>
              <w:t xml:space="preserve">Site Visits </w:t>
            </w:r>
          </w:p>
        </w:tc>
        <w:tc>
          <w:tcPr>
            <w:tcW w:w="1255" w:type="dxa"/>
            <w:tcBorders>
              <w:top w:val="nil"/>
              <w:left w:val="nil"/>
              <w:bottom w:val="single" w:sz="8" w:space="0" w:color="A6A6A6"/>
              <w:right w:val="single" w:sz="8" w:space="0" w:color="A6A6A6"/>
            </w:tcBorders>
            <w:shd w:val="clear" w:color="auto" w:fill="auto"/>
            <w:vAlign w:val="center"/>
            <w:hideMark/>
          </w:tcPr>
          <w:p w14:paraId="1C1B68B0" w14:textId="77777777" w:rsidR="00CD2F50" w:rsidRPr="00CD2F50" w:rsidRDefault="00CD2F50" w:rsidP="001F5F25">
            <w:pPr>
              <w:keepNext/>
              <w:keepLines/>
              <w:spacing w:line="240" w:lineRule="auto"/>
              <w:jc w:val="right"/>
              <w:rPr>
                <w:color w:val="000000"/>
                <w:sz w:val="20"/>
                <w:szCs w:val="20"/>
              </w:rPr>
            </w:pPr>
            <w:r w:rsidRPr="00CD2F50">
              <w:rPr>
                <w:color w:val="000000"/>
                <w:sz w:val="20"/>
                <w:szCs w:val="20"/>
              </w:rPr>
              <w:t>-</w:t>
            </w:r>
          </w:p>
        </w:tc>
        <w:tc>
          <w:tcPr>
            <w:tcW w:w="1440" w:type="dxa"/>
            <w:tcBorders>
              <w:top w:val="nil"/>
              <w:left w:val="nil"/>
              <w:bottom w:val="single" w:sz="8" w:space="0" w:color="A6A6A6"/>
              <w:right w:val="single" w:sz="8" w:space="0" w:color="A6A6A6"/>
            </w:tcBorders>
            <w:shd w:val="clear" w:color="auto" w:fill="auto"/>
            <w:vAlign w:val="center"/>
            <w:hideMark/>
          </w:tcPr>
          <w:p w14:paraId="628BE4ED" w14:textId="77777777" w:rsidR="00CD2F50" w:rsidRPr="00CD2F50" w:rsidRDefault="00CD2F50" w:rsidP="001F5F25">
            <w:pPr>
              <w:keepNext/>
              <w:keepLines/>
              <w:spacing w:line="240" w:lineRule="auto"/>
              <w:jc w:val="right"/>
              <w:rPr>
                <w:color w:val="000000"/>
                <w:sz w:val="20"/>
                <w:szCs w:val="20"/>
              </w:rPr>
            </w:pPr>
            <w:r w:rsidRPr="00CD2F50">
              <w:rPr>
                <w:color w:val="000000"/>
                <w:sz w:val="20"/>
                <w:szCs w:val="20"/>
              </w:rPr>
              <w:t>22</w:t>
            </w:r>
          </w:p>
        </w:tc>
        <w:tc>
          <w:tcPr>
            <w:tcW w:w="933" w:type="dxa"/>
            <w:tcBorders>
              <w:top w:val="nil"/>
              <w:left w:val="nil"/>
              <w:bottom w:val="single" w:sz="8" w:space="0" w:color="A6A6A6"/>
              <w:right w:val="single" w:sz="8" w:space="0" w:color="A6A6A6"/>
            </w:tcBorders>
            <w:shd w:val="clear" w:color="auto" w:fill="auto"/>
            <w:vAlign w:val="center"/>
            <w:hideMark/>
          </w:tcPr>
          <w:p w14:paraId="2BDA52C2" w14:textId="77777777" w:rsidR="00CD2F50" w:rsidRPr="00CD2F50" w:rsidRDefault="00CD2F50" w:rsidP="001F5F25">
            <w:pPr>
              <w:keepNext/>
              <w:keepLines/>
              <w:spacing w:line="240" w:lineRule="auto"/>
              <w:jc w:val="right"/>
              <w:rPr>
                <w:color w:val="000000"/>
                <w:sz w:val="20"/>
                <w:szCs w:val="20"/>
              </w:rPr>
            </w:pPr>
            <w:r w:rsidRPr="00CD2F50">
              <w:rPr>
                <w:color w:val="000000"/>
                <w:sz w:val="20"/>
                <w:szCs w:val="20"/>
              </w:rPr>
              <w:t>22</w:t>
            </w:r>
          </w:p>
        </w:tc>
      </w:tr>
    </w:tbl>
    <w:p w14:paraId="798D1E6B" w14:textId="77777777" w:rsidR="00501847" w:rsidRDefault="00CD2F50" w:rsidP="001F5F25">
      <w:pPr>
        <w:pStyle w:val="ParaText"/>
        <w:keepNext/>
        <w:keepLines/>
        <w:spacing w:before="0"/>
        <w:jc w:val="center"/>
        <w:rPr>
          <w:sz w:val="16"/>
          <w:szCs w:val="16"/>
        </w:rPr>
      </w:pPr>
      <w:r>
        <w:rPr>
          <w:sz w:val="16"/>
          <w:szCs w:val="16"/>
        </w:rPr>
        <w:t xml:space="preserve">*Note that the </w:t>
      </w:r>
      <w:r w:rsidR="00063A97">
        <w:rPr>
          <w:sz w:val="16"/>
          <w:szCs w:val="16"/>
        </w:rPr>
        <w:t>participant project quantity</w:t>
      </w:r>
      <w:r>
        <w:rPr>
          <w:sz w:val="16"/>
          <w:szCs w:val="16"/>
        </w:rPr>
        <w:t xml:space="preserve"> is based off CPUC tracking and will be </w:t>
      </w:r>
      <w:r w:rsidR="00063A97">
        <w:rPr>
          <w:sz w:val="16"/>
          <w:szCs w:val="16"/>
        </w:rPr>
        <w:t>refined or verified from the REN tracking data</w:t>
      </w:r>
    </w:p>
    <w:p w14:paraId="3B41FD0E" w14:textId="6315F159" w:rsidR="00724774" w:rsidRPr="00162F55" w:rsidRDefault="00724774" w:rsidP="00162F55">
      <w:pPr>
        <w:pStyle w:val="ParaText"/>
      </w:pPr>
      <w:r>
        <w:t xml:space="preserve">In addition to the activities above, the evaluation team will assess the ratepayer costs associated with the program, on a per MMBTU basis, and compare the planned costs and energy savings to program targets. </w:t>
      </w:r>
      <w:r w:rsidR="00162F55">
        <w:t>The evaluation team will also report</w:t>
      </w:r>
      <w:r w:rsidR="0094487D">
        <w:t xml:space="preserve"> and analyze</w:t>
      </w:r>
      <w:r w:rsidR="00162F55">
        <w:t xml:space="preserve"> participant </w:t>
      </w:r>
      <w:proofErr w:type="gramStart"/>
      <w:r w:rsidR="00162F55">
        <w:t>costs,</w:t>
      </w:r>
      <w:proofErr w:type="gramEnd"/>
      <w:r w:rsidR="00162F55">
        <w:t xml:space="preserve"> to the extent they are available from the implementers.</w:t>
      </w:r>
    </w:p>
    <w:p w14:paraId="78F516C8" w14:textId="6D77FFB3" w:rsidR="004444FE" w:rsidRDefault="004444FE" w:rsidP="004444FE">
      <w:pPr>
        <w:pStyle w:val="Heading3"/>
      </w:pPr>
      <w:bookmarkStart w:id="20" w:name="_Toc455072258"/>
      <w:bookmarkStart w:id="21" w:name="_Toc456174335"/>
      <w:r>
        <w:t>Single Family</w:t>
      </w:r>
      <w:bookmarkEnd w:id="20"/>
      <w:bookmarkEnd w:id="21"/>
    </w:p>
    <w:p w14:paraId="0D1EBE4C" w14:textId="77777777" w:rsidR="004444FE" w:rsidRPr="00886AE2" w:rsidRDefault="004444FE" w:rsidP="00B7625A">
      <w:pPr>
        <w:pStyle w:val="ParaText"/>
      </w:pPr>
      <w:r w:rsidRPr="00886AE2">
        <w:t xml:space="preserve">The </w:t>
      </w:r>
      <w:r w:rsidRPr="00886AE2">
        <w:rPr>
          <w:b/>
        </w:rPr>
        <w:t xml:space="preserve">single family program </w:t>
      </w:r>
      <w:r w:rsidRPr="00886AE2">
        <w:t>gross impacts for 2013-2015 will be estimated through a billing analysis conducted under the Home Upgrade impact evaluation.</w:t>
      </w:r>
      <w:r w:rsidRPr="00886AE2">
        <w:rPr>
          <w:rStyle w:val="FootnoteReference"/>
        </w:rPr>
        <w:footnoteReference w:id="17"/>
      </w:r>
      <w:r w:rsidRPr="00886AE2">
        <w:t xml:space="preserve"> To assess changes in energy usage and aid in comparison across years, the billing analysis will follow an approach similar to the one developed for the 2013-2014 REN home upgrade impact evaluation. This billing analysis will compare a treatment group (participants) with a comparison group (non-participants). This method is consistent with the recommended International Performance Measurement and Verification Protocol (IPMVP) option Method C, Whole Facility and the CPUC evaluation protocols. There are several approaches to conducting a billing analysis however.</w:t>
      </w:r>
    </w:p>
    <w:p w14:paraId="6F773031" w14:textId="77777777" w:rsidR="004444FE" w:rsidRPr="00886AE2" w:rsidRDefault="004444FE" w:rsidP="00B7625A">
      <w:pPr>
        <w:pStyle w:val="ParaText"/>
      </w:pPr>
      <w:r w:rsidRPr="00886AE2">
        <w:t>For this evaluation we will use a “pooled” fixed effects approach</w:t>
      </w:r>
      <w:r w:rsidRPr="00886AE2">
        <w:rPr>
          <w:vertAlign w:val="superscript"/>
        </w:rPr>
        <w:footnoteReference w:id="18"/>
      </w:r>
      <w:r w:rsidRPr="00886AE2">
        <w:t xml:space="preserve"> as the primary method of analysis. The pooled approach is appropriate given the small size of the program population relative to the general population. In addition, this approach is recommended where there is no valid control or comparison group (i.e. not available, not random or developed “after the fact”) or there are many gaps in the data for individual sites and the goal is to estimate average savings across program years.</w:t>
      </w:r>
    </w:p>
    <w:p w14:paraId="4A80BCAE" w14:textId="77777777" w:rsidR="004444FE" w:rsidRPr="00886AE2" w:rsidRDefault="004444FE" w:rsidP="004444FE">
      <w:pPr>
        <w:pStyle w:val="Heading4"/>
      </w:pPr>
      <w:bookmarkStart w:id="22" w:name="_Toc454454073"/>
      <w:bookmarkStart w:id="23" w:name="_Toc454532492"/>
      <w:bookmarkStart w:id="24" w:name="_Toc454808575"/>
      <w:r w:rsidRPr="00886AE2">
        <w:t>Pooled fixed-effects approach</w:t>
      </w:r>
      <w:bookmarkEnd w:id="22"/>
      <w:bookmarkEnd w:id="23"/>
      <w:bookmarkEnd w:id="24"/>
    </w:p>
    <w:p w14:paraId="47D3378D" w14:textId="77777777" w:rsidR="004444FE" w:rsidRPr="00886AE2" w:rsidRDefault="004444FE" w:rsidP="00B7625A">
      <w:pPr>
        <w:pStyle w:val="ParaText"/>
      </w:pPr>
      <w:r w:rsidRPr="00886AE2">
        <w:t>The pooled approach combines all participants and time intervals into a single regression analysis. This is also referred to as a “time-series cross-sectional analysis” because observations vary both across time and across individual dwellings.</w:t>
      </w:r>
    </w:p>
    <w:p w14:paraId="0D06FBFC" w14:textId="0777F410" w:rsidR="004444FE" w:rsidRPr="00886AE2" w:rsidRDefault="004444FE" w:rsidP="00B7625A">
      <w:pPr>
        <w:pStyle w:val="ParaText"/>
      </w:pPr>
      <w:r w:rsidRPr="00886AE2">
        <w:lastRenderedPageBreak/>
        <w:t xml:space="preserve">In this model, participants who received a home upgrade during a certain time interval serve as a steady-state comparison for other participants in each other time interval. Almost all observations include premises that are still in their pre-installation period </w:t>
      </w:r>
      <w:r w:rsidRPr="00886AE2">
        <w:rPr>
          <w:b/>
          <w:bCs/>
          <w:i/>
          <w:iCs/>
        </w:rPr>
        <w:t xml:space="preserve">and </w:t>
      </w:r>
      <w:r w:rsidRPr="00886AE2">
        <w:t xml:space="preserve">premises in that are in their post-installation period. This approach helps isolate the effects of natural changes in energy usage, such as weather, general economic conditions, disruptions in service and other effects that are external to the program. </w:t>
      </w:r>
    </w:p>
    <w:p w14:paraId="5F630633" w14:textId="77777777" w:rsidR="009B11EB" w:rsidRDefault="004444FE" w:rsidP="009B11EB">
      <w:pPr>
        <w:spacing w:before="40" w:after="140" w:line="280" w:lineRule="atLeast"/>
      </w:pPr>
      <w:r w:rsidRPr="00886AE2">
        <w:t xml:space="preserve">To maximize the diversity and size of the sample the analysis of 2013-2015 will require participant billing data starting from 2012 and ending as late as possible in 2016. </w:t>
      </w:r>
      <w:r w:rsidR="009B11EB" w:rsidRPr="00010B3A">
        <w:t>For the electric component DNV GL will issue special data requests to the IOUs for 60-minute interval data and monthly 2016 gas data.</w:t>
      </w:r>
    </w:p>
    <w:p w14:paraId="74F1C610" w14:textId="77777777" w:rsidR="009B11EB" w:rsidRDefault="009B11EB" w:rsidP="009B11EB">
      <w:pPr>
        <w:spacing w:before="40" w:after="140" w:line="280" w:lineRule="atLeast"/>
      </w:pPr>
      <w:r>
        <w:t>While annual electric savings are aggregated and modelled at the daily level (monthly for gas), kW reductions are modelled at the hourly level. The definition of peak kW is defined as,</w:t>
      </w:r>
    </w:p>
    <w:p w14:paraId="7A485775" w14:textId="77777777" w:rsidR="009B11EB" w:rsidRDefault="009B11EB" w:rsidP="009B11EB">
      <w:pPr>
        <w:spacing w:before="40" w:after="140" w:line="280" w:lineRule="atLeast"/>
      </w:pPr>
      <w:r w:rsidRPr="00067EBE">
        <w:rPr>
          <w:szCs w:val="20"/>
        </w:rPr>
        <w:t xml:space="preserve">“…the average grid impact for the measure from 2 </w:t>
      </w:r>
      <w:r>
        <w:rPr>
          <w:szCs w:val="20"/>
        </w:rPr>
        <w:t>pm</w:t>
      </w:r>
      <w:r w:rsidRPr="00067EBE">
        <w:rPr>
          <w:szCs w:val="20"/>
        </w:rPr>
        <w:t xml:space="preserve"> to 5 </w:t>
      </w:r>
      <w:r>
        <w:rPr>
          <w:szCs w:val="20"/>
        </w:rPr>
        <w:t>pm</w:t>
      </w:r>
      <w:r w:rsidRPr="00067EBE">
        <w:rPr>
          <w:szCs w:val="20"/>
        </w:rPr>
        <w:t xml:space="preserve"> during the three consecutive weekday period containing the weekday with the hottest temperature of the year.</w:t>
      </w:r>
      <w:r>
        <w:rPr>
          <w:szCs w:val="20"/>
        </w:rPr>
        <w:t>”</w:t>
      </w:r>
      <w:r>
        <w:rPr>
          <w:rStyle w:val="FootnoteReference"/>
          <w:szCs w:val="20"/>
        </w:rPr>
        <w:footnoteReference w:id="19"/>
      </w:r>
    </w:p>
    <w:p w14:paraId="5FFDAB44" w14:textId="25E77BE3" w:rsidR="004444FE" w:rsidRPr="00886AE2" w:rsidRDefault="009B11EB" w:rsidP="00DF7E5A">
      <w:pPr>
        <w:spacing w:before="40" w:after="140" w:line="280" w:lineRule="atLeast"/>
      </w:pPr>
      <w:r>
        <w:t>Results are reported by PA, but the resulting peak day and time values can be different for each PA and climate zone. If a new definition of peak is adopted we will use that definition for the analysis.</w:t>
      </w:r>
    </w:p>
    <w:p w14:paraId="2B255C03" w14:textId="77777777" w:rsidR="004444FE" w:rsidRPr="00886AE2" w:rsidRDefault="004444FE" w:rsidP="004444FE">
      <w:pPr>
        <w:pStyle w:val="Heading4"/>
      </w:pPr>
      <w:bookmarkStart w:id="25" w:name="_Toc454454075"/>
      <w:bookmarkStart w:id="26" w:name="_Toc454532494"/>
      <w:bookmarkStart w:id="27" w:name="_Toc454808577"/>
      <w:r w:rsidRPr="00886AE2">
        <w:t>Multi-program adjustment</w:t>
      </w:r>
      <w:bookmarkEnd w:id="25"/>
      <w:bookmarkEnd w:id="26"/>
      <w:bookmarkEnd w:id="27"/>
    </w:p>
    <w:p w14:paraId="5347A9A5" w14:textId="4236B16A" w:rsidR="004444FE" w:rsidRPr="00886AE2" w:rsidRDefault="004444FE" w:rsidP="00B7625A">
      <w:pPr>
        <w:pStyle w:val="ParaText"/>
      </w:pPr>
      <w:r w:rsidRPr="00886AE2">
        <w:t xml:space="preserve">Participants that simultaneously participate in efficiency programs outside of home upgrade will be identified </w:t>
      </w:r>
      <w:r w:rsidR="009B11EB">
        <w:t>through the tracking data review. T</w:t>
      </w:r>
      <w:r w:rsidRPr="00886AE2">
        <w:t>his will be reported along with other descriptive statistics. Adjusting savings for these participants effectively involves two steps. First we will develop the weather normalized savings estimate for the home. Then we will subtract any savings claimed by other programs for that premise. The difference will be the savings assigned to the premise and attributed to the home upgrade programs.</w:t>
      </w:r>
    </w:p>
    <w:p w14:paraId="7F43EE83" w14:textId="77777777" w:rsidR="004444FE" w:rsidRPr="00886AE2" w:rsidRDefault="004444FE" w:rsidP="004444FE">
      <w:pPr>
        <w:pStyle w:val="Heading4"/>
      </w:pPr>
      <w:bookmarkStart w:id="28" w:name="_Toc454454076"/>
      <w:bookmarkStart w:id="29" w:name="_Toc454532495"/>
      <w:bookmarkStart w:id="30" w:name="_Toc454808578"/>
      <w:r w:rsidRPr="00886AE2">
        <w:t>Analysis data set</w:t>
      </w:r>
      <w:bookmarkEnd w:id="28"/>
      <w:bookmarkEnd w:id="29"/>
      <w:bookmarkEnd w:id="30"/>
    </w:p>
    <w:p w14:paraId="6C22140B" w14:textId="77777777" w:rsidR="004444FE" w:rsidRPr="00B7625A" w:rsidRDefault="004444FE" w:rsidP="00B7625A">
      <w:pPr>
        <w:pStyle w:val="ParaText"/>
      </w:pPr>
      <w:r w:rsidRPr="00B7625A">
        <w:t>We will use a final dataset that combines the tracking data and the billing data (using the account numbers in the two datasets) with weather data. Weather data will be attached to each consumption interval, based on the days in a read interval. The combined data have a sum of the daily degree-days (DD) for each unique read interval, based on start date and duration. Using a variable degree-day base approach, this process must be repeated over the range of heating and cooling DD bases. Cooling DD, heating DD, and humidity DD (heat index or dew point</w:t>
      </w:r>
      <w:r w:rsidRPr="00B7625A">
        <w:footnoteReference w:id="20"/>
      </w:r>
      <w:r w:rsidRPr="00B7625A">
        <w:t>) are calculated based on average hourly temperature for that day.</w:t>
      </w:r>
    </w:p>
    <w:p w14:paraId="7267DEF5" w14:textId="15FB8818" w:rsidR="004444FE" w:rsidRPr="00B7625A" w:rsidRDefault="004444FE" w:rsidP="00B7625A">
      <w:pPr>
        <w:pStyle w:val="ParaText"/>
      </w:pPr>
      <w:r w:rsidRPr="00B7625A">
        <w:lastRenderedPageBreak/>
        <w:t>Participation in REN programs more than doubled in 2015 from prior years. For this evaluation we anticipate a sufficient number of participants to support savings estimates. The number of REN home upgrade participants is shown in</w:t>
      </w:r>
      <w:r w:rsidR="00B7625A">
        <w:t xml:space="preserve"> </w:t>
      </w:r>
      <w:r w:rsidR="00B7625A" w:rsidRPr="00B7625A">
        <w:fldChar w:fldCharType="begin"/>
      </w:r>
      <w:r w:rsidR="00B7625A" w:rsidRPr="00B7625A">
        <w:instrText xml:space="preserve"> REF _Ref455061999 \h </w:instrText>
      </w:r>
      <w:r w:rsidR="00B7625A">
        <w:instrText xml:space="preserve"> \* MERGEFORMAT </w:instrText>
      </w:r>
      <w:r w:rsidR="00B7625A" w:rsidRPr="00B7625A">
        <w:fldChar w:fldCharType="separate"/>
      </w:r>
      <w:r w:rsidR="00A53E5B" w:rsidRPr="00CD2F50">
        <w:t xml:space="preserve">Table </w:t>
      </w:r>
      <w:r w:rsidR="00A53E5B">
        <w:t>D</w:t>
      </w:r>
      <w:r w:rsidR="00B7625A" w:rsidRPr="00B7625A">
        <w:fldChar w:fldCharType="end"/>
      </w:r>
      <w:r w:rsidR="00B7625A">
        <w:t>.</w:t>
      </w:r>
    </w:p>
    <w:p w14:paraId="15E14BAD" w14:textId="6DA0C98C" w:rsidR="004444FE" w:rsidRDefault="004444FE" w:rsidP="001F5F25">
      <w:pPr>
        <w:pStyle w:val="Caption"/>
      </w:pPr>
      <w:bookmarkStart w:id="31" w:name="_Ref455061999"/>
      <w:proofErr w:type="gramStart"/>
      <w:r w:rsidRPr="00CD2F50">
        <w:t xml:space="preserve">Table </w:t>
      </w:r>
      <w:r w:rsidR="008068AB">
        <w:fldChar w:fldCharType="begin"/>
      </w:r>
      <w:r w:rsidR="008068AB">
        <w:instrText xml:space="preserve"> SEQ Table \* ALPHABETIC </w:instrText>
      </w:r>
      <w:r w:rsidR="008068AB">
        <w:fldChar w:fldCharType="separate"/>
      </w:r>
      <w:r w:rsidR="00A53E5B">
        <w:rPr>
          <w:noProof/>
        </w:rPr>
        <w:t>D</w:t>
      </w:r>
      <w:r w:rsidR="008068AB">
        <w:rPr>
          <w:noProof/>
        </w:rPr>
        <w:fldChar w:fldCharType="end"/>
      </w:r>
      <w:bookmarkEnd w:id="31"/>
      <w:r w:rsidRPr="00CD2F50">
        <w:t>.</w:t>
      </w:r>
      <w:proofErr w:type="gramEnd"/>
      <w:r w:rsidRPr="00CD2F50">
        <w:t xml:space="preserve"> </w:t>
      </w:r>
      <w:r w:rsidRPr="00886AE2">
        <w:t>Number of REN single family projects reported in program tracking data</w:t>
      </w:r>
    </w:p>
    <w:tbl>
      <w:tblPr>
        <w:tblStyle w:val="LightList-Accent2"/>
        <w:tblW w:w="5418" w:type="dxa"/>
        <w:jc w:val="center"/>
        <w:tblLayout w:type="fixed"/>
        <w:tblLook w:val="04E0" w:firstRow="1" w:lastRow="1" w:firstColumn="1" w:lastColumn="0" w:noHBand="0" w:noVBand="1"/>
      </w:tblPr>
      <w:tblGrid>
        <w:gridCol w:w="1332"/>
        <w:gridCol w:w="1476"/>
        <w:gridCol w:w="1350"/>
        <w:gridCol w:w="1260"/>
      </w:tblGrid>
      <w:tr w:rsidR="004444FE" w:rsidRPr="009B5146" w14:paraId="479FDA55" w14:textId="77777777" w:rsidTr="001F5F25">
        <w:trPr>
          <w:cnfStyle w:val="100000000000" w:firstRow="1" w:lastRow="0" w:firstColumn="0" w:lastColumn="0" w:oddVBand="0" w:evenVBand="0" w:oddHBand="0"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332" w:type="dxa"/>
            <w:noWrap/>
            <w:vAlign w:val="center"/>
            <w:hideMark/>
          </w:tcPr>
          <w:p w14:paraId="7F20EA42" w14:textId="77777777" w:rsidR="004444FE" w:rsidRPr="0091337B" w:rsidRDefault="004444FE" w:rsidP="00B7625A">
            <w:pPr>
              <w:rPr>
                <w:rFonts w:cs="Arial"/>
              </w:rPr>
            </w:pPr>
            <w:r w:rsidRPr="0091337B">
              <w:rPr>
                <w:rFonts w:cs="Arial"/>
              </w:rPr>
              <w:t>PA</w:t>
            </w:r>
          </w:p>
        </w:tc>
        <w:tc>
          <w:tcPr>
            <w:tcW w:w="1476" w:type="dxa"/>
            <w:noWrap/>
            <w:vAlign w:val="center"/>
            <w:hideMark/>
          </w:tcPr>
          <w:p w14:paraId="2CC7F1F2" w14:textId="77777777" w:rsidR="004444FE" w:rsidRPr="0091337B" w:rsidRDefault="004444FE" w:rsidP="00B7625A">
            <w:pPr>
              <w:jc w:val="right"/>
              <w:cnfStyle w:val="100000000000" w:firstRow="1" w:lastRow="0" w:firstColumn="0" w:lastColumn="0" w:oddVBand="0" w:evenVBand="0" w:oddHBand="0" w:evenHBand="0" w:firstRowFirstColumn="0" w:firstRowLastColumn="0" w:lastRowFirstColumn="0" w:lastRowLastColumn="0"/>
              <w:rPr>
                <w:rFonts w:cs="Arial"/>
                <w:b w:val="0"/>
                <w:bCs w:val="0"/>
              </w:rPr>
            </w:pPr>
            <w:r w:rsidRPr="0091337B">
              <w:rPr>
                <w:rFonts w:cs="Arial"/>
              </w:rPr>
              <w:t>Total</w:t>
            </w:r>
          </w:p>
        </w:tc>
        <w:tc>
          <w:tcPr>
            <w:tcW w:w="1350" w:type="dxa"/>
            <w:vAlign w:val="center"/>
          </w:tcPr>
          <w:p w14:paraId="0D999015" w14:textId="53198C79" w:rsidR="004444FE" w:rsidRPr="0091337B" w:rsidRDefault="004444FE" w:rsidP="00B7625A">
            <w:pPr>
              <w:jc w:val="right"/>
              <w:cnfStyle w:val="100000000000" w:firstRow="1" w:lastRow="0" w:firstColumn="0" w:lastColumn="0" w:oddVBand="0" w:evenVBand="0" w:oddHBand="0" w:evenHBand="0" w:firstRowFirstColumn="0" w:firstRowLastColumn="0" w:lastRowFirstColumn="0" w:lastRowLastColumn="0"/>
              <w:rPr>
                <w:rFonts w:cs="Arial"/>
                <w:b w:val="0"/>
                <w:bCs w:val="0"/>
              </w:rPr>
            </w:pPr>
            <w:r w:rsidRPr="0091337B">
              <w:rPr>
                <w:rFonts w:cs="Arial"/>
              </w:rPr>
              <w:t>2013-</w:t>
            </w:r>
            <w:r w:rsidR="00E92C35">
              <w:rPr>
                <w:rFonts w:cs="Arial"/>
              </w:rPr>
              <w:t>20</w:t>
            </w:r>
            <w:r w:rsidRPr="0091337B">
              <w:rPr>
                <w:rFonts w:cs="Arial"/>
              </w:rPr>
              <w:t>14</w:t>
            </w:r>
          </w:p>
        </w:tc>
        <w:tc>
          <w:tcPr>
            <w:tcW w:w="1260" w:type="dxa"/>
            <w:vAlign w:val="center"/>
          </w:tcPr>
          <w:p w14:paraId="57392DD3" w14:textId="77777777" w:rsidR="004444FE" w:rsidRPr="0091337B" w:rsidRDefault="004444FE" w:rsidP="00B7625A">
            <w:pPr>
              <w:jc w:val="right"/>
              <w:cnfStyle w:val="100000000000" w:firstRow="1" w:lastRow="0" w:firstColumn="0" w:lastColumn="0" w:oddVBand="0" w:evenVBand="0" w:oddHBand="0" w:evenHBand="0" w:firstRowFirstColumn="0" w:firstRowLastColumn="0" w:lastRowFirstColumn="0" w:lastRowLastColumn="0"/>
              <w:rPr>
                <w:rFonts w:cs="Arial"/>
              </w:rPr>
            </w:pPr>
            <w:r w:rsidRPr="0091337B">
              <w:rPr>
                <w:rFonts w:cs="Arial"/>
              </w:rPr>
              <w:t>2015</w:t>
            </w:r>
          </w:p>
        </w:tc>
      </w:tr>
      <w:tr w:rsidR="004444FE" w:rsidRPr="009B5146" w14:paraId="4AF0459D" w14:textId="77777777" w:rsidTr="001F5F25">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332" w:type="dxa"/>
            <w:noWrap/>
            <w:vAlign w:val="center"/>
            <w:hideMark/>
          </w:tcPr>
          <w:p w14:paraId="5A87D12F" w14:textId="77777777" w:rsidR="004444FE" w:rsidRPr="009B5146" w:rsidRDefault="004444FE" w:rsidP="00B7625A">
            <w:pPr>
              <w:rPr>
                <w:rFonts w:cs="Arial"/>
                <w:b w:val="0"/>
                <w:bCs w:val="0"/>
              </w:rPr>
            </w:pPr>
            <w:r w:rsidRPr="009B5146">
              <w:rPr>
                <w:rFonts w:cs="Arial"/>
                <w:b w:val="0"/>
                <w:bCs w:val="0"/>
              </w:rPr>
              <w:t>BayREN</w:t>
            </w:r>
          </w:p>
        </w:tc>
        <w:tc>
          <w:tcPr>
            <w:tcW w:w="1476" w:type="dxa"/>
            <w:noWrap/>
            <w:vAlign w:val="center"/>
          </w:tcPr>
          <w:p w14:paraId="2770DDE7" w14:textId="77777777" w:rsidR="004444FE" w:rsidRPr="009B5146" w:rsidRDefault="004444FE" w:rsidP="00B7625A">
            <w:pPr>
              <w:jc w:val="right"/>
              <w:cnfStyle w:val="000000100000" w:firstRow="0" w:lastRow="0" w:firstColumn="0" w:lastColumn="0" w:oddVBand="0" w:evenVBand="0" w:oddHBand="1" w:evenHBand="0" w:firstRowFirstColumn="0" w:firstRowLastColumn="0" w:lastRowFirstColumn="0" w:lastRowLastColumn="0"/>
              <w:rPr>
                <w:rFonts w:cs="Arial"/>
              </w:rPr>
            </w:pPr>
            <w:r w:rsidRPr="009B5146">
              <w:rPr>
                <w:rFonts w:cs="Arial"/>
              </w:rPr>
              <w:t>2,100</w:t>
            </w:r>
          </w:p>
        </w:tc>
        <w:tc>
          <w:tcPr>
            <w:tcW w:w="1350" w:type="dxa"/>
            <w:vAlign w:val="center"/>
          </w:tcPr>
          <w:p w14:paraId="2FFDBAFD" w14:textId="77777777" w:rsidR="004444FE" w:rsidRPr="009B5146" w:rsidRDefault="004444FE" w:rsidP="00B7625A">
            <w:pPr>
              <w:jc w:val="right"/>
              <w:cnfStyle w:val="000000100000" w:firstRow="0" w:lastRow="0" w:firstColumn="0" w:lastColumn="0" w:oddVBand="0" w:evenVBand="0" w:oddHBand="1" w:evenHBand="0" w:firstRowFirstColumn="0" w:firstRowLastColumn="0" w:lastRowFirstColumn="0" w:lastRowLastColumn="0"/>
              <w:rPr>
                <w:rFonts w:cs="Arial"/>
              </w:rPr>
            </w:pPr>
            <w:r w:rsidRPr="009B5146">
              <w:rPr>
                <w:rFonts w:cs="Arial"/>
              </w:rPr>
              <w:t>684</w:t>
            </w:r>
          </w:p>
        </w:tc>
        <w:tc>
          <w:tcPr>
            <w:tcW w:w="1260" w:type="dxa"/>
            <w:vAlign w:val="center"/>
          </w:tcPr>
          <w:p w14:paraId="33FB4E1C" w14:textId="77777777" w:rsidR="004444FE" w:rsidRPr="009B5146" w:rsidRDefault="004444FE" w:rsidP="00B7625A">
            <w:pPr>
              <w:jc w:val="right"/>
              <w:cnfStyle w:val="000000100000" w:firstRow="0" w:lastRow="0" w:firstColumn="0" w:lastColumn="0" w:oddVBand="0" w:evenVBand="0" w:oddHBand="1" w:evenHBand="0" w:firstRowFirstColumn="0" w:firstRowLastColumn="0" w:lastRowFirstColumn="0" w:lastRowLastColumn="0"/>
              <w:rPr>
                <w:rFonts w:cs="Arial"/>
              </w:rPr>
            </w:pPr>
            <w:r w:rsidRPr="009B5146">
              <w:rPr>
                <w:rFonts w:cs="Arial"/>
              </w:rPr>
              <w:t>1,416</w:t>
            </w:r>
          </w:p>
        </w:tc>
      </w:tr>
      <w:tr w:rsidR="004444FE" w:rsidRPr="009B5146" w14:paraId="7785D83D" w14:textId="77777777" w:rsidTr="001F5F25">
        <w:trPr>
          <w:trHeight w:val="432"/>
          <w:jc w:val="center"/>
        </w:trPr>
        <w:tc>
          <w:tcPr>
            <w:cnfStyle w:val="001000000000" w:firstRow="0" w:lastRow="0" w:firstColumn="1" w:lastColumn="0" w:oddVBand="0" w:evenVBand="0" w:oddHBand="0" w:evenHBand="0" w:firstRowFirstColumn="0" w:firstRowLastColumn="0" w:lastRowFirstColumn="0" w:lastRowLastColumn="0"/>
            <w:tcW w:w="1332" w:type="dxa"/>
            <w:noWrap/>
            <w:vAlign w:val="center"/>
            <w:hideMark/>
          </w:tcPr>
          <w:p w14:paraId="7EAB6FC6" w14:textId="77777777" w:rsidR="004444FE" w:rsidRPr="009B5146" w:rsidRDefault="004444FE" w:rsidP="00B7625A">
            <w:pPr>
              <w:rPr>
                <w:rFonts w:cs="Arial"/>
                <w:b w:val="0"/>
                <w:bCs w:val="0"/>
              </w:rPr>
            </w:pPr>
            <w:r w:rsidRPr="009B5146">
              <w:rPr>
                <w:rFonts w:cs="Arial"/>
                <w:b w:val="0"/>
                <w:bCs w:val="0"/>
              </w:rPr>
              <w:t>SoCalREN</w:t>
            </w:r>
          </w:p>
        </w:tc>
        <w:tc>
          <w:tcPr>
            <w:tcW w:w="1476" w:type="dxa"/>
            <w:noWrap/>
            <w:vAlign w:val="center"/>
          </w:tcPr>
          <w:p w14:paraId="11EBF3AC" w14:textId="77777777" w:rsidR="004444FE" w:rsidRPr="009B5146" w:rsidRDefault="004444FE" w:rsidP="00B7625A">
            <w:pPr>
              <w:jc w:val="right"/>
              <w:cnfStyle w:val="000000000000" w:firstRow="0" w:lastRow="0" w:firstColumn="0" w:lastColumn="0" w:oddVBand="0" w:evenVBand="0" w:oddHBand="0" w:evenHBand="0" w:firstRowFirstColumn="0" w:firstRowLastColumn="0" w:lastRowFirstColumn="0" w:lastRowLastColumn="0"/>
              <w:rPr>
                <w:rFonts w:cs="Arial"/>
              </w:rPr>
            </w:pPr>
            <w:r w:rsidRPr="009B5146">
              <w:rPr>
                <w:rFonts w:cs="Arial"/>
              </w:rPr>
              <w:t>514</w:t>
            </w:r>
          </w:p>
        </w:tc>
        <w:tc>
          <w:tcPr>
            <w:tcW w:w="1350" w:type="dxa"/>
            <w:vAlign w:val="center"/>
          </w:tcPr>
          <w:p w14:paraId="23EFC0D0" w14:textId="77777777" w:rsidR="004444FE" w:rsidRPr="009B5146" w:rsidRDefault="004444FE" w:rsidP="00B7625A">
            <w:pPr>
              <w:jc w:val="right"/>
              <w:cnfStyle w:val="000000000000" w:firstRow="0" w:lastRow="0" w:firstColumn="0" w:lastColumn="0" w:oddVBand="0" w:evenVBand="0" w:oddHBand="0" w:evenHBand="0" w:firstRowFirstColumn="0" w:firstRowLastColumn="0" w:lastRowFirstColumn="0" w:lastRowLastColumn="0"/>
              <w:rPr>
                <w:rFonts w:cs="Arial"/>
              </w:rPr>
            </w:pPr>
            <w:r w:rsidRPr="009B5146">
              <w:rPr>
                <w:rFonts w:cs="Arial"/>
              </w:rPr>
              <w:t>118</w:t>
            </w:r>
          </w:p>
        </w:tc>
        <w:tc>
          <w:tcPr>
            <w:tcW w:w="1260" w:type="dxa"/>
            <w:vAlign w:val="center"/>
          </w:tcPr>
          <w:p w14:paraId="3FC4AF4C" w14:textId="77777777" w:rsidR="004444FE" w:rsidRPr="009B5146" w:rsidRDefault="004444FE" w:rsidP="00B7625A">
            <w:pPr>
              <w:jc w:val="right"/>
              <w:cnfStyle w:val="000000000000" w:firstRow="0" w:lastRow="0" w:firstColumn="0" w:lastColumn="0" w:oddVBand="0" w:evenVBand="0" w:oddHBand="0" w:evenHBand="0" w:firstRowFirstColumn="0" w:firstRowLastColumn="0" w:lastRowFirstColumn="0" w:lastRowLastColumn="0"/>
              <w:rPr>
                <w:rFonts w:cs="Arial"/>
              </w:rPr>
            </w:pPr>
            <w:r w:rsidRPr="009B5146">
              <w:rPr>
                <w:rFonts w:cs="Arial"/>
              </w:rPr>
              <w:t>396</w:t>
            </w:r>
          </w:p>
        </w:tc>
      </w:tr>
      <w:tr w:rsidR="004444FE" w:rsidRPr="009B5146" w14:paraId="140791BE" w14:textId="77777777" w:rsidTr="001F5F25">
        <w:trPr>
          <w:cnfStyle w:val="010000000000" w:firstRow="0" w:lastRow="1" w:firstColumn="0" w:lastColumn="0" w:oddVBand="0" w:evenVBand="0" w:oddHBand="0"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332" w:type="dxa"/>
            <w:noWrap/>
            <w:vAlign w:val="center"/>
            <w:hideMark/>
          </w:tcPr>
          <w:p w14:paraId="64C58FFF" w14:textId="77777777" w:rsidR="004444FE" w:rsidRPr="009B5146" w:rsidRDefault="004444FE" w:rsidP="00B7625A">
            <w:pPr>
              <w:rPr>
                <w:rFonts w:cs="Arial"/>
              </w:rPr>
            </w:pPr>
            <w:r w:rsidRPr="009B5146">
              <w:rPr>
                <w:rFonts w:cs="Arial"/>
              </w:rPr>
              <w:t>Total</w:t>
            </w:r>
          </w:p>
        </w:tc>
        <w:tc>
          <w:tcPr>
            <w:tcW w:w="1476" w:type="dxa"/>
            <w:noWrap/>
            <w:vAlign w:val="center"/>
          </w:tcPr>
          <w:p w14:paraId="0A3222CD" w14:textId="77777777" w:rsidR="004444FE" w:rsidRPr="0029011D" w:rsidRDefault="004444FE" w:rsidP="00B7625A">
            <w:pPr>
              <w:jc w:val="right"/>
              <w:cnfStyle w:val="010000000000" w:firstRow="0" w:lastRow="1" w:firstColumn="0" w:lastColumn="0" w:oddVBand="0" w:evenVBand="0" w:oddHBand="0" w:evenHBand="0" w:firstRowFirstColumn="0" w:firstRowLastColumn="0" w:lastRowFirstColumn="0" w:lastRowLastColumn="0"/>
              <w:rPr>
                <w:rFonts w:cs="Arial"/>
              </w:rPr>
            </w:pPr>
            <w:r>
              <w:rPr>
                <w:rFonts w:cs="Arial"/>
              </w:rPr>
              <w:t>2</w:t>
            </w:r>
            <w:r w:rsidRPr="0029011D">
              <w:rPr>
                <w:rFonts w:cs="Arial"/>
              </w:rPr>
              <w:t>,</w:t>
            </w:r>
            <w:r>
              <w:rPr>
                <w:rFonts w:cs="Arial"/>
              </w:rPr>
              <w:t>614</w:t>
            </w:r>
          </w:p>
        </w:tc>
        <w:tc>
          <w:tcPr>
            <w:tcW w:w="1350" w:type="dxa"/>
            <w:vAlign w:val="center"/>
          </w:tcPr>
          <w:p w14:paraId="406DBAEF" w14:textId="77777777" w:rsidR="004444FE" w:rsidRPr="0029011D" w:rsidRDefault="004444FE" w:rsidP="00B7625A">
            <w:pPr>
              <w:jc w:val="right"/>
              <w:cnfStyle w:val="010000000000" w:firstRow="0" w:lastRow="1" w:firstColumn="0" w:lastColumn="0" w:oddVBand="0" w:evenVBand="0" w:oddHBand="0" w:evenHBand="0" w:firstRowFirstColumn="0" w:firstRowLastColumn="0" w:lastRowFirstColumn="0" w:lastRowLastColumn="0"/>
              <w:rPr>
                <w:rFonts w:cs="Arial"/>
              </w:rPr>
            </w:pPr>
            <w:r>
              <w:rPr>
                <w:rFonts w:cs="Arial"/>
              </w:rPr>
              <w:t>802</w:t>
            </w:r>
          </w:p>
        </w:tc>
        <w:tc>
          <w:tcPr>
            <w:tcW w:w="1260" w:type="dxa"/>
            <w:vAlign w:val="center"/>
          </w:tcPr>
          <w:p w14:paraId="4CA93FF6" w14:textId="77777777" w:rsidR="004444FE" w:rsidRPr="0029011D" w:rsidRDefault="004444FE" w:rsidP="00B7625A">
            <w:pPr>
              <w:jc w:val="right"/>
              <w:cnfStyle w:val="010000000000" w:firstRow="0" w:lastRow="1" w:firstColumn="0" w:lastColumn="0" w:oddVBand="0" w:evenVBand="0" w:oddHBand="0" w:evenHBand="0" w:firstRowFirstColumn="0" w:firstRowLastColumn="0" w:lastRowFirstColumn="0" w:lastRowLastColumn="0"/>
              <w:rPr>
                <w:rFonts w:cs="Arial"/>
              </w:rPr>
            </w:pPr>
            <w:r>
              <w:rPr>
                <w:rFonts w:cs="Arial"/>
              </w:rPr>
              <w:t>1</w:t>
            </w:r>
            <w:r w:rsidRPr="0029011D">
              <w:rPr>
                <w:rFonts w:cs="Arial"/>
              </w:rPr>
              <w:t>,</w:t>
            </w:r>
            <w:r>
              <w:rPr>
                <w:rFonts w:cs="Arial"/>
              </w:rPr>
              <w:t>812</w:t>
            </w:r>
          </w:p>
        </w:tc>
      </w:tr>
    </w:tbl>
    <w:p w14:paraId="616832F9" w14:textId="77777777" w:rsidR="00374A61" w:rsidRDefault="00374A61" w:rsidP="00374A61">
      <w:pPr>
        <w:pStyle w:val="Heading2"/>
        <w:rPr>
          <w:noProof/>
        </w:rPr>
      </w:pPr>
      <w:bookmarkStart w:id="32" w:name="_Toc455072259"/>
      <w:bookmarkStart w:id="33" w:name="_Toc456174336"/>
      <w:r>
        <w:rPr>
          <w:noProof/>
        </w:rPr>
        <w:t>Net Savings</w:t>
      </w:r>
      <w:bookmarkEnd w:id="32"/>
      <w:bookmarkEnd w:id="33"/>
    </w:p>
    <w:p w14:paraId="7578666D" w14:textId="3368B5F7" w:rsidR="001F485C" w:rsidRPr="001F485C" w:rsidRDefault="00F95A86" w:rsidP="00EB55E6">
      <w:pPr>
        <w:pStyle w:val="ParaText"/>
        <w:rPr>
          <w:noProof/>
        </w:rPr>
      </w:pPr>
      <w:r>
        <w:rPr>
          <w:noProof/>
        </w:rPr>
        <w:t>Mutlifamily program net of free-ridership (</w:t>
      </w:r>
      <w:r w:rsidR="001F485C">
        <w:rPr>
          <w:noProof/>
        </w:rPr>
        <w:t xml:space="preserve">NFR) estimates will result from two </w:t>
      </w:r>
      <w:r w:rsidR="00EB55E6">
        <w:rPr>
          <w:noProof/>
        </w:rPr>
        <w:t>survey efforts</w:t>
      </w:r>
      <w:r w:rsidR="0062029D">
        <w:rPr>
          <w:noProof/>
        </w:rPr>
        <w:t>:</w:t>
      </w:r>
      <w:r w:rsidR="001F485C">
        <w:rPr>
          <w:noProof/>
        </w:rPr>
        <w:t xml:space="preserve"> (1) </w:t>
      </w:r>
      <w:r>
        <w:rPr>
          <w:noProof/>
        </w:rPr>
        <w:t xml:space="preserve">telephone surveys </w:t>
      </w:r>
      <w:r w:rsidR="001F485C">
        <w:rPr>
          <w:noProof/>
        </w:rPr>
        <w:t xml:space="preserve">previously </w:t>
      </w:r>
      <w:r>
        <w:rPr>
          <w:noProof/>
        </w:rPr>
        <w:t>conducted as part of the 2013-2014 assessment and</w:t>
      </w:r>
      <w:r w:rsidR="001F485C">
        <w:rPr>
          <w:noProof/>
        </w:rPr>
        <w:t>, (2)</w:t>
      </w:r>
      <w:r>
        <w:rPr>
          <w:noProof/>
        </w:rPr>
        <w:t xml:space="preserve"> </w:t>
      </w:r>
      <w:r w:rsidR="0011156B">
        <w:rPr>
          <w:noProof/>
        </w:rPr>
        <w:t xml:space="preserve">surveys conducted </w:t>
      </w:r>
      <w:r>
        <w:rPr>
          <w:noProof/>
        </w:rPr>
        <w:t>duri</w:t>
      </w:r>
      <w:r w:rsidR="006B4F84">
        <w:rPr>
          <w:noProof/>
        </w:rPr>
        <w:t>ng</w:t>
      </w:r>
      <w:r w:rsidR="001F485C">
        <w:rPr>
          <w:noProof/>
        </w:rPr>
        <w:t xml:space="preserve"> </w:t>
      </w:r>
      <w:r w:rsidR="0062029D">
        <w:rPr>
          <w:noProof/>
        </w:rPr>
        <w:t xml:space="preserve">the </w:t>
      </w:r>
      <w:r w:rsidR="001F485C">
        <w:rPr>
          <w:noProof/>
        </w:rPr>
        <w:t>2013-2015</w:t>
      </w:r>
      <w:r w:rsidR="006B4F84">
        <w:rPr>
          <w:noProof/>
        </w:rPr>
        <w:t xml:space="preserve"> </w:t>
      </w:r>
      <w:r w:rsidR="00EB55E6">
        <w:rPr>
          <w:noProof/>
        </w:rPr>
        <w:t>telephone survey  and site visit</w:t>
      </w:r>
      <w:r w:rsidR="0011156B">
        <w:rPr>
          <w:noProof/>
        </w:rPr>
        <w:t xml:space="preserve"> recruitment calls</w:t>
      </w:r>
      <w:r w:rsidR="006B4F84" w:rsidRPr="006B4F84">
        <w:rPr>
          <w:noProof/>
        </w:rPr>
        <w:t>.  The same N</w:t>
      </w:r>
      <w:r w:rsidR="006B4F84">
        <w:rPr>
          <w:noProof/>
        </w:rPr>
        <w:t>FR</w:t>
      </w:r>
      <w:r w:rsidR="006B4F84" w:rsidRPr="006B4F84">
        <w:rPr>
          <w:noProof/>
        </w:rPr>
        <w:t xml:space="preserve"> algorithm used in the 2013-</w:t>
      </w:r>
      <w:r w:rsidR="00E92C35">
        <w:rPr>
          <w:noProof/>
        </w:rPr>
        <w:t>20</w:t>
      </w:r>
      <w:r w:rsidR="006B4F84" w:rsidRPr="006B4F84">
        <w:rPr>
          <w:noProof/>
        </w:rPr>
        <w:t>14 study will be applied</w:t>
      </w:r>
      <w:r w:rsidR="001F485C">
        <w:rPr>
          <w:noProof/>
        </w:rPr>
        <w:t xml:space="preserve"> for both activities</w:t>
      </w:r>
      <w:r w:rsidR="006B4F84" w:rsidRPr="006B4F84">
        <w:rPr>
          <w:noProof/>
        </w:rPr>
        <w:t>.</w:t>
      </w:r>
      <w:r w:rsidR="006B4F84">
        <w:rPr>
          <w:noProof/>
        </w:rPr>
        <w:t xml:space="preserve"> In this manner, additional 2015 completed projects that are contacted for the site visits will contribute to the final 2013-2015 NFR estimates. </w:t>
      </w:r>
      <w:r w:rsidR="001F485C">
        <w:rPr>
          <w:noProof/>
        </w:rPr>
        <w:t>The survey targets</w:t>
      </w:r>
      <w:r w:rsidR="001F485C" w:rsidRPr="001F485C">
        <w:rPr>
          <w:noProof/>
        </w:rPr>
        <w:t xml:space="preserve"> property managers, owners, or other primary decision makers involved in executing the program at the property level</w:t>
      </w:r>
      <w:r w:rsidR="001F485C">
        <w:rPr>
          <w:noProof/>
        </w:rPr>
        <w:t xml:space="preserve"> and is based on the CPUC Self-Report Net-to-Gross Framework.</w:t>
      </w:r>
      <w:r w:rsidR="001F485C">
        <w:rPr>
          <w:rStyle w:val="FootnoteReference"/>
          <w:noProof/>
        </w:rPr>
        <w:footnoteReference w:id="21"/>
      </w:r>
      <w:r w:rsidR="001F485C">
        <w:rPr>
          <w:noProof/>
        </w:rPr>
        <w:t xml:space="preserve"> </w:t>
      </w:r>
      <w:r w:rsidR="00793A38" w:rsidRPr="00793A38">
        <w:rPr>
          <w:noProof/>
        </w:rPr>
        <w:t xml:space="preserve">Note that this study </w:t>
      </w:r>
      <w:r w:rsidR="00793A38">
        <w:rPr>
          <w:noProof/>
        </w:rPr>
        <w:t>will focus</w:t>
      </w:r>
      <w:r w:rsidR="00793A38" w:rsidRPr="00793A38">
        <w:rPr>
          <w:noProof/>
        </w:rPr>
        <w:t xml:space="preserve"> exclusively on free-ridership and not account for potential spillover.</w:t>
      </w:r>
      <w:r w:rsidR="00793A38">
        <w:rPr>
          <w:noProof/>
        </w:rPr>
        <w:t xml:space="preserve"> </w:t>
      </w:r>
      <w:r w:rsidR="00B8662F">
        <w:rPr>
          <w:noProof/>
        </w:rPr>
        <w:t>Spillover is assessed</w:t>
      </w:r>
      <w:r w:rsidR="004734C3">
        <w:rPr>
          <w:noProof/>
        </w:rPr>
        <w:t xml:space="preserve"> and applied</w:t>
      </w:r>
      <w:r w:rsidR="00B8662F">
        <w:rPr>
          <w:noProof/>
        </w:rPr>
        <w:t xml:space="preserve"> through a separate</w:t>
      </w:r>
      <w:r w:rsidR="004734C3">
        <w:rPr>
          <w:noProof/>
        </w:rPr>
        <w:t>, statewide</w:t>
      </w:r>
      <w:r w:rsidR="00B8662F">
        <w:rPr>
          <w:noProof/>
        </w:rPr>
        <w:t xml:space="preserve"> effort</w:t>
      </w:r>
      <w:r w:rsidR="004734C3">
        <w:rPr>
          <w:noProof/>
        </w:rPr>
        <w:t>.</w:t>
      </w:r>
      <w:r w:rsidR="008C1809">
        <w:rPr>
          <w:rStyle w:val="FootnoteReference"/>
          <w:noProof/>
        </w:rPr>
        <w:footnoteReference w:id="22"/>
      </w:r>
    </w:p>
    <w:p w14:paraId="26FE59FC" w14:textId="3DBCD50C" w:rsidR="00F95A86" w:rsidRDefault="001F485C" w:rsidP="008E413A">
      <w:pPr>
        <w:pStyle w:val="ParaText"/>
        <w:rPr>
          <w:noProof/>
        </w:rPr>
      </w:pPr>
      <w:r w:rsidRPr="001F485C">
        <w:rPr>
          <w:noProof/>
        </w:rPr>
        <w:fldChar w:fldCharType="begin"/>
      </w:r>
      <w:r w:rsidRPr="001F485C">
        <w:rPr>
          <w:noProof/>
        </w:rPr>
        <w:instrText xml:space="preserve"> REF _Ref454440770 \h  \* MERGEFORMAT </w:instrText>
      </w:r>
      <w:r w:rsidRPr="001F485C">
        <w:rPr>
          <w:noProof/>
        </w:rPr>
      </w:r>
      <w:r w:rsidRPr="001F485C">
        <w:rPr>
          <w:noProof/>
        </w:rPr>
        <w:fldChar w:fldCharType="separate"/>
      </w:r>
      <w:r w:rsidR="00A53E5B" w:rsidRPr="00A53E5B">
        <w:t xml:space="preserve">Table </w:t>
      </w:r>
      <w:r w:rsidR="00A53E5B" w:rsidRPr="00A53E5B">
        <w:rPr>
          <w:noProof/>
        </w:rPr>
        <w:t>E</w:t>
      </w:r>
      <w:r w:rsidRPr="001F485C">
        <w:rPr>
          <w:noProof/>
        </w:rPr>
        <w:fldChar w:fldCharType="end"/>
      </w:r>
      <w:r w:rsidRPr="001F485C">
        <w:rPr>
          <w:noProof/>
        </w:rPr>
        <w:t xml:space="preserve">, </w:t>
      </w:r>
      <w:r>
        <w:rPr>
          <w:noProof/>
        </w:rPr>
        <w:t>below, shows the sample and completed surveys conducted during the 2013-2014 assessment. These surveys will be supplimented through the 2013-2015 site visit recruitments</w:t>
      </w:r>
      <w:r w:rsidR="00B534F9">
        <w:rPr>
          <w:noProof/>
        </w:rPr>
        <w:t xml:space="preserve"> among site visit participants whome have not yet taken the survey</w:t>
      </w:r>
      <w:r>
        <w:rPr>
          <w:noProof/>
        </w:rPr>
        <w:t xml:space="preserve">. </w:t>
      </w:r>
    </w:p>
    <w:p w14:paraId="06CEF217" w14:textId="1045FA3D" w:rsidR="006B4F84" w:rsidRPr="007F1FDF" w:rsidRDefault="00205415" w:rsidP="007F1FDF">
      <w:pPr>
        <w:pStyle w:val="ParaText"/>
        <w:jc w:val="center"/>
        <w:rPr>
          <w:b/>
        </w:rPr>
      </w:pPr>
      <w:bookmarkStart w:id="34" w:name="_Ref454440770"/>
      <w:r w:rsidRPr="007F1FDF">
        <w:rPr>
          <w:b/>
        </w:rPr>
        <w:t xml:space="preserve">Table </w:t>
      </w:r>
      <w:r w:rsidRPr="007F1FDF">
        <w:rPr>
          <w:b/>
        </w:rPr>
        <w:fldChar w:fldCharType="begin"/>
      </w:r>
      <w:r w:rsidRPr="007F1FDF">
        <w:rPr>
          <w:b/>
        </w:rPr>
        <w:instrText xml:space="preserve"> SEQ Table \* ALPHABETIC </w:instrText>
      </w:r>
      <w:r w:rsidRPr="007F1FDF">
        <w:rPr>
          <w:b/>
        </w:rPr>
        <w:fldChar w:fldCharType="separate"/>
      </w:r>
      <w:r w:rsidR="00A53E5B">
        <w:rPr>
          <w:b/>
          <w:noProof/>
        </w:rPr>
        <w:t>E</w:t>
      </w:r>
      <w:r w:rsidRPr="007F1FDF">
        <w:rPr>
          <w:b/>
        </w:rPr>
        <w:fldChar w:fldCharType="end"/>
      </w:r>
      <w:bookmarkEnd w:id="34"/>
      <w:r w:rsidR="007F1FDF">
        <w:rPr>
          <w:b/>
        </w:rPr>
        <w:t>. 2013-2014</w:t>
      </w:r>
      <w:r w:rsidRPr="007F1FDF">
        <w:rPr>
          <w:b/>
        </w:rPr>
        <w:t xml:space="preserve"> </w:t>
      </w:r>
      <w:r w:rsidR="007F1FDF">
        <w:rPr>
          <w:b/>
        </w:rPr>
        <w:t>Completed NFR Surveys</w:t>
      </w:r>
    </w:p>
    <w:tbl>
      <w:tblPr>
        <w:tblW w:w="6620" w:type="dxa"/>
        <w:jc w:val="center"/>
        <w:tblLook w:val="04A0" w:firstRow="1" w:lastRow="0" w:firstColumn="1" w:lastColumn="0" w:noHBand="0" w:noVBand="1"/>
      </w:tblPr>
      <w:tblGrid>
        <w:gridCol w:w="1522"/>
        <w:gridCol w:w="1221"/>
        <w:gridCol w:w="1392"/>
        <w:gridCol w:w="1070"/>
        <w:gridCol w:w="1415"/>
      </w:tblGrid>
      <w:tr w:rsidR="00205415" w:rsidRPr="00205415" w14:paraId="6015234B" w14:textId="77777777" w:rsidTr="00EB55E6">
        <w:trPr>
          <w:cantSplit/>
          <w:trHeight w:val="330"/>
          <w:jc w:val="center"/>
        </w:trPr>
        <w:tc>
          <w:tcPr>
            <w:tcW w:w="1522" w:type="dxa"/>
            <w:vMerge w:val="restart"/>
            <w:tcBorders>
              <w:top w:val="single" w:sz="8" w:space="0" w:color="A6A6A6"/>
              <w:left w:val="single" w:sz="8" w:space="0" w:color="A6A6A6"/>
              <w:bottom w:val="single" w:sz="8" w:space="0" w:color="A6A6A6"/>
              <w:right w:val="nil"/>
            </w:tcBorders>
            <w:shd w:val="clear" w:color="000000" w:fill="3F9C35"/>
            <w:vAlign w:val="center"/>
            <w:hideMark/>
          </w:tcPr>
          <w:p w14:paraId="4C2A1227" w14:textId="77777777" w:rsidR="00205415" w:rsidRPr="00205415" w:rsidRDefault="00205415" w:rsidP="00205415">
            <w:pPr>
              <w:spacing w:line="240" w:lineRule="auto"/>
              <w:jc w:val="center"/>
              <w:rPr>
                <w:rFonts w:ascii="Verdana" w:hAnsi="Verdana"/>
                <w:b/>
                <w:bCs/>
                <w:color w:val="FFFFFF"/>
                <w:sz w:val="20"/>
                <w:szCs w:val="20"/>
              </w:rPr>
            </w:pPr>
            <w:r w:rsidRPr="00205415">
              <w:rPr>
                <w:rFonts w:ascii="Verdana" w:hAnsi="Verdana"/>
                <w:b/>
                <w:bCs/>
                <w:color w:val="FFFFFF"/>
                <w:sz w:val="20"/>
                <w:szCs w:val="20"/>
              </w:rPr>
              <w:t>PA</w:t>
            </w:r>
          </w:p>
        </w:tc>
        <w:tc>
          <w:tcPr>
            <w:tcW w:w="1221" w:type="dxa"/>
            <w:vMerge w:val="restart"/>
            <w:tcBorders>
              <w:top w:val="single" w:sz="8" w:space="0" w:color="A6A6A6"/>
              <w:left w:val="single" w:sz="8" w:space="0" w:color="A6A6A6"/>
              <w:bottom w:val="single" w:sz="8" w:space="0" w:color="A6A6A6"/>
              <w:right w:val="nil"/>
            </w:tcBorders>
            <w:shd w:val="clear" w:color="000000" w:fill="3F9C35"/>
            <w:vAlign w:val="center"/>
            <w:hideMark/>
          </w:tcPr>
          <w:p w14:paraId="05074C0C" w14:textId="77777777" w:rsidR="00205415" w:rsidRPr="00205415" w:rsidRDefault="00205415" w:rsidP="00205415">
            <w:pPr>
              <w:spacing w:line="240" w:lineRule="auto"/>
              <w:jc w:val="center"/>
              <w:rPr>
                <w:rFonts w:ascii="Verdana" w:hAnsi="Verdana"/>
                <w:b/>
                <w:bCs/>
                <w:color w:val="FFFFFF"/>
                <w:sz w:val="20"/>
                <w:szCs w:val="20"/>
              </w:rPr>
            </w:pPr>
            <w:r w:rsidRPr="00205415">
              <w:rPr>
                <w:rFonts w:ascii="Verdana" w:hAnsi="Verdana"/>
                <w:b/>
                <w:bCs/>
                <w:color w:val="FFFFFF"/>
                <w:sz w:val="20"/>
                <w:szCs w:val="20"/>
              </w:rPr>
              <w:t>Program</w:t>
            </w:r>
          </w:p>
        </w:tc>
        <w:tc>
          <w:tcPr>
            <w:tcW w:w="1392" w:type="dxa"/>
            <w:vMerge w:val="restart"/>
            <w:tcBorders>
              <w:top w:val="single" w:sz="8" w:space="0" w:color="A6A6A6"/>
              <w:left w:val="single" w:sz="8" w:space="0" w:color="A6A6A6"/>
              <w:bottom w:val="single" w:sz="8" w:space="0" w:color="A6A6A6"/>
              <w:right w:val="nil"/>
            </w:tcBorders>
            <w:shd w:val="clear" w:color="000000" w:fill="3F9C35"/>
            <w:vAlign w:val="center"/>
            <w:hideMark/>
          </w:tcPr>
          <w:p w14:paraId="03FD0EBA" w14:textId="77777777" w:rsidR="00205415" w:rsidRPr="00205415" w:rsidRDefault="00205415" w:rsidP="00205415">
            <w:pPr>
              <w:spacing w:line="240" w:lineRule="auto"/>
              <w:jc w:val="center"/>
              <w:rPr>
                <w:rFonts w:ascii="Verdana" w:hAnsi="Verdana"/>
                <w:b/>
                <w:bCs/>
                <w:color w:val="FFFFFF"/>
                <w:sz w:val="20"/>
                <w:szCs w:val="20"/>
              </w:rPr>
            </w:pPr>
            <w:r w:rsidRPr="00205415">
              <w:rPr>
                <w:rFonts w:ascii="Verdana" w:hAnsi="Verdana"/>
                <w:b/>
                <w:bCs/>
                <w:color w:val="FFFFFF"/>
                <w:sz w:val="20"/>
                <w:szCs w:val="20"/>
              </w:rPr>
              <w:t>Number of Applicants</w:t>
            </w:r>
          </w:p>
        </w:tc>
        <w:tc>
          <w:tcPr>
            <w:tcW w:w="1070" w:type="dxa"/>
            <w:vMerge w:val="restart"/>
            <w:tcBorders>
              <w:top w:val="single" w:sz="8" w:space="0" w:color="A6A6A6"/>
              <w:left w:val="single" w:sz="8" w:space="0" w:color="A6A6A6"/>
              <w:bottom w:val="single" w:sz="8" w:space="0" w:color="A6A6A6"/>
              <w:right w:val="nil"/>
            </w:tcBorders>
            <w:shd w:val="clear" w:color="000000" w:fill="3F9C35"/>
            <w:vAlign w:val="center"/>
            <w:hideMark/>
          </w:tcPr>
          <w:p w14:paraId="1E2AA90C" w14:textId="77777777" w:rsidR="00205415" w:rsidRPr="00205415" w:rsidRDefault="00205415" w:rsidP="00205415">
            <w:pPr>
              <w:spacing w:line="240" w:lineRule="auto"/>
              <w:jc w:val="center"/>
              <w:rPr>
                <w:rFonts w:ascii="Verdana" w:hAnsi="Verdana"/>
                <w:b/>
                <w:bCs/>
                <w:color w:val="FFFFFF"/>
                <w:sz w:val="20"/>
                <w:szCs w:val="20"/>
              </w:rPr>
            </w:pPr>
            <w:r w:rsidRPr="00205415">
              <w:rPr>
                <w:rFonts w:ascii="Verdana" w:hAnsi="Verdana"/>
                <w:b/>
                <w:bCs/>
                <w:color w:val="FFFFFF"/>
                <w:sz w:val="20"/>
                <w:szCs w:val="20"/>
              </w:rPr>
              <w:t>Target Sample</w:t>
            </w:r>
          </w:p>
        </w:tc>
        <w:tc>
          <w:tcPr>
            <w:tcW w:w="1415" w:type="dxa"/>
            <w:vMerge w:val="restart"/>
            <w:tcBorders>
              <w:top w:val="single" w:sz="8" w:space="0" w:color="A6A6A6"/>
              <w:left w:val="single" w:sz="8" w:space="0" w:color="A6A6A6"/>
              <w:bottom w:val="single" w:sz="8" w:space="0" w:color="A6A6A6"/>
              <w:right w:val="nil"/>
            </w:tcBorders>
            <w:shd w:val="clear" w:color="000000" w:fill="3F9C35"/>
            <w:vAlign w:val="center"/>
            <w:hideMark/>
          </w:tcPr>
          <w:p w14:paraId="65A40307" w14:textId="77777777" w:rsidR="00205415" w:rsidRPr="00205415" w:rsidRDefault="00205415" w:rsidP="00205415">
            <w:pPr>
              <w:spacing w:line="240" w:lineRule="auto"/>
              <w:jc w:val="center"/>
              <w:rPr>
                <w:rFonts w:ascii="Verdana" w:hAnsi="Verdana"/>
                <w:b/>
                <w:bCs/>
                <w:color w:val="FFFFFF"/>
                <w:sz w:val="20"/>
                <w:szCs w:val="20"/>
              </w:rPr>
            </w:pPr>
            <w:r w:rsidRPr="00205415">
              <w:rPr>
                <w:rFonts w:ascii="Verdana" w:hAnsi="Verdana"/>
                <w:b/>
                <w:bCs/>
                <w:color w:val="FFFFFF"/>
                <w:sz w:val="20"/>
                <w:szCs w:val="20"/>
              </w:rPr>
              <w:t>Completed Surveys</w:t>
            </w:r>
          </w:p>
        </w:tc>
      </w:tr>
      <w:tr w:rsidR="00205415" w:rsidRPr="00205415" w14:paraId="1EAD34F9" w14:textId="77777777" w:rsidTr="00EB55E6">
        <w:trPr>
          <w:trHeight w:val="315"/>
          <w:jc w:val="center"/>
        </w:trPr>
        <w:tc>
          <w:tcPr>
            <w:tcW w:w="1522" w:type="dxa"/>
            <w:vMerge/>
            <w:tcBorders>
              <w:top w:val="single" w:sz="8" w:space="0" w:color="A6A6A6"/>
              <w:left w:val="single" w:sz="8" w:space="0" w:color="A6A6A6"/>
              <w:bottom w:val="single" w:sz="8" w:space="0" w:color="A6A6A6"/>
              <w:right w:val="nil"/>
            </w:tcBorders>
            <w:vAlign w:val="center"/>
            <w:hideMark/>
          </w:tcPr>
          <w:p w14:paraId="25F7E8D6" w14:textId="77777777" w:rsidR="00205415" w:rsidRPr="00205415" w:rsidRDefault="00205415" w:rsidP="00205415">
            <w:pPr>
              <w:spacing w:line="240" w:lineRule="auto"/>
              <w:rPr>
                <w:rFonts w:ascii="Verdana" w:hAnsi="Verdana"/>
                <w:b/>
                <w:bCs/>
                <w:color w:val="FFFFFF"/>
                <w:sz w:val="20"/>
                <w:szCs w:val="20"/>
              </w:rPr>
            </w:pPr>
          </w:p>
        </w:tc>
        <w:tc>
          <w:tcPr>
            <w:tcW w:w="1221" w:type="dxa"/>
            <w:vMerge/>
            <w:tcBorders>
              <w:top w:val="single" w:sz="8" w:space="0" w:color="A6A6A6"/>
              <w:left w:val="single" w:sz="8" w:space="0" w:color="A6A6A6"/>
              <w:bottom w:val="single" w:sz="8" w:space="0" w:color="A6A6A6"/>
              <w:right w:val="nil"/>
            </w:tcBorders>
            <w:vAlign w:val="center"/>
            <w:hideMark/>
          </w:tcPr>
          <w:p w14:paraId="32AC257F" w14:textId="77777777" w:rsidR="00205415" w:rsidRPr="00205415" w:rsidRDefault="00205415" w:rsidP="00205415">
            <w:pPr>
              <w:spacing w:line="240" w:lineRule="auto"/>
              <w:rPr>
                <w:rFonts w:ascii="Verdana" w:hAnsi="Verdana"/>
                <w:b/>
                <w:bCs/>
                <w:color w:val="FFFFFF"/>
                <w:sz w:val="20"/>
                <w:szCs w:val="20"/>
              </w:rPr>
            </w:pPr>
          </w:p>
        </w:tc>
        <w:tc>
          <w:tcPr>
            <w:tcW w:w="1392" w:type="dxa"/>
            <w:vMerge/>
            <w:tcBorders>
              <w:top w:val="single" w:sz="8" w:space="0" w:color="A6A6A6"/>
              <w:left w:val="single" w:sz="8" w:space="0" w:color="A6A6A6"/>
              <w:bottom w:val="single" w:sz="8" w:space="0" w:color="A6A6A6"/>
              <w:right w:val="nil"/>
            </w:tcBorders>
            <w:vAlign w:val="center"/>
            <w:hideMark/>
          </w:tcPr>
          <w:p w14:paraId="1127451E" w14:textId="77777777" w:rsidR="00205415" w:rsidRPr="00205415" w:rsidRDefault="00205415" w:rsidP="00205415">
            <w:pPr>
              <w:spacing w:line="240" w:lineRule="auto"/>
              <w:rPr>
                <w:rFonts w:ascii="Verdana" w:hAnsi="Verdana"/>
                <w:b/>
                <w:bCs/>
                <w:color w:val="FFFFFF"/>
                <w:sz w:val="20"/>
                <w:szCs w:val="20"/>
              </w:rPr>
            </w:pPr>
          </w:p>
        </w:tc>
        <w:tc>
          <w:tcPr>
            <w:tcW w:w="1070" w:type="dxa"/>
            <w:vMerge/>
            <w:tcBorders>
              <w:top w:val="single" w:sz="8" w:space="0" w:color="A6A6A6"/>
              <w:left w:val="single" w:sz="8" w:space="0" w:color="A6A6A6"/>
              <w:bottom w:val="single" w:sz="8" w:space="0" w:color="A6A6A6"/>
              <w:right w:val="nil"/>
            </w:tcBorders>
            <w:vAlign w:val="center"/>
            <w:hideMark/>
          </w:tcPr>
          <w:p w14:paraId="2A934A6B" w14:textId="77777777" w:rsidR="00205415" w:rsidRPr="00205415" w:rsidRDefault="00205415" w:rsidP="00205415">
            <w:pPr>
              <w:spacing w:line="240" w:lineRule="auto"/>
              <w:rPr>
                <w:rFonts w:ascii="Verdana" w:hAnsi="Verdana"/>
                <w:b/>
                <w:bCs/>
                <w:color w:val="FFFFFF"/>
                <w:sz w:val="20"/>
                <w:szCs w:val="20"/>
              </w:rPr>
            </w:pPr>
          </w:p>
        </w:tc>
        <w:tc>
          <w:tcPr>
            <w:tcW w:w="1415" w:type="dxa"/>
            <w:vMerge/>
            <w:tcBorders>
              <w:top w:val="single" w:sz="8" w:space="0" w:color="A6A6A6"/>
              <w:left w:val="single" w:sz="8" w:space="0" w:color="A6A6A6"/>
              <w:bottom w:val="single" w:sz="8" w:space="0" w:color="A6A6A6"/>
              <w:right w:val="nil"/>
            </w:tcBorders>
            <w:vAlign w:val="center"/>
            <w:hideMark/>
          </w:tcPr>
          <w:p w14:paraId="6F9ABF63" w14:textId="77777777" w:rsidR="00205415" w:rsidRPr="00205415" w:rsidRDefault="00205415" w:rsidP="00205415">
            <w:pPr>
              <w:spacing w:line="240" w:lineRule="auto"/>
              <w:rPr>
                <w:rFonts w:ascii="Verdana" w:hAnsi="Verdana"/>
                <w:b/>
                <w:bCs/>
                <w:color w:val="FFFFFF"/>
                <w:sz w:val="20"/>
                <w:szCs w:val="20"/>
              </w:rPr>
            </w:pPr>
          </w:p>
        </w:tc>
      </w:tr>
      <w:tr w:rsidR="00205415" w:rsidRPr="00205415" w14:paraId="42FC681B" w14:textId="77777777" w:rsidTr="00EB55E6">
        <w:trPr>
          <w:cantSplit/>
          <w:trHeight w:val="315"/>
          <w:jc w:val="center"/>
        </w:trPr>
        <w:tc>
          <w:tcPr>
            <w:tcW w:w="1522" w:type="dxa"/>
            <w:tcBorders>
              <w:top w:val="nil"/>
              <w:left w:val="single" w:sz="8" w:space="0" w:color="A6A6A6"/>
              <w:bottom w:val="single" w:sz="8" w:space="0" w:color="A6A6A6"/>
              <w:right w:val="single" w:sz="8" w:space="0" w:color="A6A6A6"/>
            </w:tcBorders>
            <w:shd w:val="clear" w:color="auto" w:fill="auto"/>
            <w:vAlign w:val="center"/>
            <w:hideMark/>
          </w:tcPr>
          <w:p w14:paraId="75D5FF9B" w14:textId="77777777" w:rsidR="00205415" w:rsidRPr="00205415" w:rsidRDefault="00205415" w:rsidP="00205415">
            <w:pPr>
              <w:spacing w:line="240" w:lineRule="auto"/>
              <w:rPr>
                <w:b/>
                <w:bCs/>
                <w:color w:val="000000"/>
                <w:sz w:val="20"/>
                <w:szCs w:val="20"/>
              </w:rPr>
            </w:pPr>
            <w:r w:rsidRPr="00205415">
              <w:rPr>
                <w:b/>
                <w:bCs/>
                <w:color w:val="000000"/>
                <w:sz w:val="20"/>
                <w:szCs w:val="20"/>
              </w:rPr>
              <w:t>BayREN</w:t>
            </w:r>
          </w:p>
        </w:tc>
        <w:tc>
          <w:tcPr>
            <w:tcW w:w="1221" w:type="dxa"/>
            <w:tcBorders>
              <w:top w:val="nil"/>
              <w:left w:val="nil"/>
              <w:bottom w:val="single" w:sz="8" w:space="0" w:color="A6A6A6"/>
              <w:right w:val="single" w:sz="8" w:space="0" w:color="A6A6A6"/>
            </w:tcBorders>
            <w:shd w:val="clear" w:color="auto" w:fill="auto"/>
            <w:vAlign w:val="center"/>
            <w:hideMark/>
          </w:tcPr>
          <w:p w14:paraId="2DBBE4A1" w14:textId="77777777" w:rsidR="00205415" w:rsidRPr="00205415" w:rsidRDefault="00205415" w:rsidP="00205415">
            <w:pPr>
              <w:spacing w:line="240" w:lineRule="auto"/>
              <w:rPr>
                <w:b/>
                <w:bCs/>
                <w:color w:val="000000"/>
                <w:sz w:val="20"/>
                <w:szCs w:val="20"/>
              </w:rPr>
            </w:pPr>
            <w:r w:rsidRPr="00205415">
              <w:rPr>
                <w:b/>
                <w:bCs/>
                <w:color w:val="000000"/>
                <w:sz w:val="20"/>
                <w:szCs w:val="20"/>
              </w:rPr>
              <w:t>Multifamily</w:t>
            </w:r>
          </w:p>
        </w:tc>
        <w:tc>
          <w:tcPr>
            <w:tcW w:w="1392" w:type="dxa"/>
            <w:tcBorders>
              <w:top w:val="nil"/>
              <w:left w:val="nil"/>
              <w:bottom w:val="single" w:sz="8" w:space="0" w:color="A6A6A6"/>
              <w:right w:val="single" w:sz="8" w:space="0" w:color="A6A6A6"/>
            </w:tcBorders>
            <w:shd w:val="clear" w:color="auto" w:fill="auto"/>
            <w:vAlign w:val="center"/>
            <w:hideMark/>
          </w:tcPr>
          <w:p w14:paraId="1C3ED021" w14:textId="77777777" w:rsidR="00205415" w:rsidRPr="00205415" w:rsidRDefault="00205415" w:rsidP="00205415">
            <w:pPr>
              <w:spacing w:line="240" w:lineRule="auto"/>
              <w:rPr>
                <w:color w:val="000000"/>
                <w:sz w:val="20"/>
                <w:szCs w:val="20"/>
              </w:rPr>
            </w:pPr>
            <w:r w:rsidRPr="00205415">
              <w:rPr>
                <w:color w:val="000000"/>
                <w:sz w:val="20"/>
                <w:szCs w:val="20"/>
              </w:rPr>
              <w:t xml:space="preserve">                 125 </w:t>
            </w:r>
          </w:p>
        </w:tc>
        <w:tc>
          <w:tcPr>
            <w:tcW w:w="1070" w:type="dxa"/>
            <w:tcBorders>
              <w:top w:val="nil"/>
              <w:left w:val="nil"/>
              <w:bottom w:val="single" w:sz="8" w:space="0" w:color="A6A6A6"/>
              <w:right w:val="single" w:sz="8" w:space="0" w:color="A6A6A6"/>
            </w:tcBorders>
            <w:shd w:val="clear" w:color="auto" w:fill="auto"/>
            <w:vAlign w:val="center"/>
            <w:hideMark/>
          </w:tcPr>
          <w:p w14:paraId="30C33B16" w14:textId="77777777" w:rsidR="00205415" w:rsidRPr="00205415" w:rsidRDefault="00205415" w:rsidP="00205415">
            <w:pPr>
              <w:spacing w:line="240" w:lineRule="auto"/>
              <w:rPr>
                <w:color w:val="000000"/>
                <w:sz w:val="20"/>
                <w:szCs w:val="20"/>
              </w:rPr>
            </w:pPr>
            <w:r w:rsidRPr="00205415">
              <w:rPr>
                <w:color w:val="000000"/>
                <w:sz w:val="20"/>
                <w:szCs w:val="20"/>
              </w:rPr>
              <w:t xml:space="preserve">      </w:t>
            </w:r>
            <w:r>
              <w:rPr>
                <w:color w:val="000000"/>
                <w:sz w:val="20"/>
                <w:szCs w:val="20"/>
              </w:rPr>
              <w:t xml:space="preserve">        </w:t>
            </w:r>
            <w:r w:rsidRPr="00205415">
              <w:rPr>
                <w:color w:val="000000"/>
                <w:sz w:val="20"/>
                <w:szCs w:val="20"/>
              </w:rPr>
              <w:t xml:space="preserve">20 </w:t>
            </w:r>
          </w:p>
        </w:tc>
        <w:tc>
          <w:tcPr>
            <w:tcW w:w="1415" w:type="dxa"/>
            <w:tcBorders>
              <w:top w:val="nil"/>
              <w:left w:val="nil"/>
              <w:bottom w:val="single" w:sz="8" w:space="0" w:color="A6A6A6"/>
              <w:right w:val="single" w:sz="8" w:space="0" w:color="A6A6A6"/>
            </w:tcBorders>
            <w:shd w:val="clear" w:color="auto" w:fill="auto"/>
            <w:vAlign w:val="center"/>
            <w:hideMark/>
          </w:tcPr>
          <w:p w14:paraId="4CBE7E34" w14:textId="77777777" w:rsidR="00205415" w:rsidRPr="00205415" w:rsidRDefault="00205415" w:rsidP="00205415">
            <w:pPr>
              <w:spacing w:line="240" w:lineRule="auto"/>
              <w:rPr>
                <w:color w:val="000000"/>
                <w:sz w:val="20"/>
                <w:szCs w:val="20"/>
              </w:rPr>
            </w:pPr>
            <w:r w:rsidRPr="00205415">
              <w:rPr>
                <w:color w:val="000000"/>
                <w:sz w:val="20"/>
                <w:szCs w:val="20"/>
              </w:rPr>
              <w:t xml:space="preserve">              43 </w:t>
            </w:r>
          </w:p>
        </w:tc>
      </w:tr>
    </w:tbl>
    <w:p w14:paraId="6832BE21" w14:textId="77777777" w:rsidR="00205415" w:rsidRDefault="00EB55E6" w:rsidP="008E413A">
      <w:pPr>
        <w:pStyle w:val="ParaText"/>
        <w:rPr>
          <w:noProof/>
        </w:rPr>
      </w:pPr>
      <w:r>
        <w:rPr>
          <w:noProof/>
        </w:rPr>
        <w:t>The NFR</w:t>
      </w:r>
      <w:r w:rsidRPr="006B4F84">
        <w:rPr>
          <w:noProof/>
        </w:rPr>
        <w:t xml:space="preserve">s </w:t>
      </w:r>
      <w:r>
        <w:rPr>
          <w:noProof/>
        </w:rPr>
        <w:t xml:space="preserve">estimated for both survey efforts (cumulatively) </w:t>
      </w:r>
      <w:r w:rsidRPr="006B4F84">
        <w:rPr>
          <w:noProof/>
        </w:rPr>
        <w:t>will be applied to the ex post gross savings values to estimate ex post net energy and demand savin</w:t>
      </w:r>
      <w:r w:rsidRPr="001F485C">
        <w:rPr>
          <w:noProof/>
        </w:rPr>
        <w:t>gs.</w:t>
      </w:r>
    </w:p>
    <w:p w14:paraId="27322DB0" w14:textId="77777777" w:rsidR="00B7625A" w:rsidRPr="00886AE2" w:rsidRDefault="00B7625A" w:rsidP="00B7625A">
      <w:pPr>
        <w:pStyle w:val="ParaText"/>
      </w:pPr>
      <w:r w:rsidRPr="00886AE2">
        <w:lastRenderedPageBreak/>
        <w:t xml:space="preserve">The </w:t>
      </w:r>
      <w:r w:rsidRPr="00886AE2">
        <w:rPr>
          <w:b/>
        </w:rPr>
        <w:t xml:space="preserve">single family program </w:t>
      </w:r>
      <w:r w:rsidRPr="00886AE2">
        <w:t>net impacts will be evaluated through self-report surveys of participants. Surveys will be conducted among participants to inform the following:</w:t>
      </w:r>
    </w:p>
    <w:p w14:paraId="4B0F8C55" w14:textId="77777777" w:rsidR="00B7625A" w:rsidRPr="00886AE2" w:rsidRDefault="00B7625A" w:rsidP="00B7625A">
      <w:pPr>
        <w:pStyle w:val="Bullet1"/>
      </w:pPr>
      <w:r w:rsidRPr="00886AE2">
        <w:t>Calibrate the pool of participants to be used in the billing analysis</w:t>
      </w:r>
    </w:p>
    <w:p w14:paraId="2E877917" w14:textId="77777777" w:rsidR="00B7625A" w:rsidRPr="00886AE2" w:rsidRDefault="00B7625A" w:rsidP="00B7625A">
      <w:pPr>
        <w:pStyle w:val="Bullet1"/>
      </w:pPr>
      <w:r w:rsidRPr="00886AE2">
        <w:t>NTG adjustment of savings estimates</w:t>
      </w:r>
    </w:p>
    <w:p w14:paraId="1E3D2386" w14:textId="77777777" w:rsidR="00B7625A" w:rsidRPr="00886AE2" w:rsidRDefault="00B7625A" w:rsidP="00B7625A">
      <w:pPr>
        <w:pStyle w:val="Bullet1"/>
      </w:pPr>
      <w:r w:rsidRPr="00886AE2">
        <w:t>Identify energy usage patterns observed as a function of dwelling characteristics, demographics, and behavior</w:t>
      </w:r>
    </w:p>
    <w:p w14:paraId="2A88A00D" w14:textId="77777777" w:rsidR="00B7625A" w:rsidRPr="00886AE2" w:rsidRDefault="00B7625A" w:rsidP="00B7625A">
      <w:pPr>
        <w:pStyle w:val="ParaText"/>
      </w:pPr>
      <w:r w:rsidRPr="00886AE2">
        <w:t>The proposed sample size for the survey is approximately 60 households total.</w:t>
      </w:r>
      <w:r w:rsidRPr="00886AE2">
        <w:rPr>
          <w:rStyle w:val="FootnoteReference"/>
        </w:rPr>
        <w:footnoteReference w:id="23"/>
      </w:r>
      <w:r w:rsidRPr="00886AE2">
        <w:t xml:space="preserve"> The sample will be split between BayREN and SoCalREN. In the aggregate this sample size will yield results reported at the 95% confidence with a 5% margin of error. If necessary, we will oversample any strata/subgroup of interest to ensure representation.</w:t>
      </w:r>
    </w:p>
    <w:p w14:paraId="5670DA6E" w14:textId="77777777" w:rsidR="00B7625A" w:rsidRPr="00010B3A" w:rsidRDefault="00B7625A" w:rsidP="00B7625A">
      <w:pPr>
        <w:pStyle w:val="ParaText"/>
      </w:pPr>
      <w:r w:rsidRPr="00886AE2">
        <w:t>The analysis will assess free riders by scoring responses to a battery of questions. The specific instrument will be refined through comments received from the residential PCG.</w:t>
      </w:r>
    </w:p>
    <w:p w14:paraId="212F7228" w14:textId="77777777" w:rsidR="00205415" w:rsidRDefault="007F1FDF" w:rsidP="007F1FDF">
      <w:pPr>
        <w:pStyle w:val="Heading1"/>
        <w:rPr>
          <w:noProof/>
        </w:rPr>
      </w:pPr>
      <w:bookmarkStart w:id="35" w:name="_Toc455072260"/>
      <w:bookmarkStart w:id="36" w:name="_Toc456174337"/>
      <w:r>
        <w:rPr>
          <w:noProof/>
        </w:rPr>
        <w:t>Data Sources</w:t>
      </w:r>
      <w:bookmarkEnd w:id="35"/>
      <w:bookmarkEnd w:id="36"/>
      <w:r>
        <w:rPr>
          <w:noProof/>
        </w:rPr>
        <w:t xml:space="preserve"> </w:t>
      </w:r>
    </w:p>
    <w:p w14:paraId="343B3C87" w14:textId="77777777" w:rsidR="007F1FDF" w:rsidRDefault="007F1FDF" w:rsidP="007F1FDF">
      <w:pPr>
        <w:pStyle w:val="ParaText"/>
      </w:pPr>
      <w:r>
        <w:t>The multifamily and single family evaluations will rely on both primary and secondary data sources, including</w:t>
      </w:r>
      <w:r w:rsidR="001F5A2A">
        <w:t>:</w:t>
      </w:r>
    </w:p>
    <w:p w14:paraId="5F8DD245" w14:textId="77777777" w:rsidR="007F1FDF" w:rsidRDefault="007230EC" w:rsidP="001F485C">
      <w:pPr>
        <w:pStyle w:val="Bullet1"/>
      </w:pPr>
      <w:r>
        <w:t>CPUC tracking d</w:t>
      </w:r>
      <w:r w:rsidR="000766A4">
        <w:t>ata,</w:t>
      </w:r>
    </w:p>
    <w:p w14:paraId="5EC888FE" w14:textId="77777777" w:rsidR="000766A4" w:rsidRDefault="007230EC" w:rsidP="001F485C">
      <w:pPr>
        <w:pStyle w:val="Bullet1"/>
      </w:pPr>
      <w:r>
        <w:t>Program a</w:t>
      </w:r>
      <w:r w:rsidR="000766A4">
        <w:t>dministrator project details,</w:t>
      </w:r>
    </w:p>
    <w:p w14:paraId="4E3C4FA4" w14:textId="77777777" w:rsidR="000766A4" w:rsidRDefault="000766A4" w:rsidP="001F485C">
      <w:pPr>
        <w:pStyle w:val="Bullet1"/>
      </w:pPr>
      <w:r>
        <w:t xml:space="preserve">Property level consumption data, </w:t>
      </w:r>
    </w:p>
    <w:p w14:paraId="7AC81879" w14:textId="77777777" w:rsidR="00AF6680" w:rsidRDefault="00AF6680" w:rsidP="00AF6680">
      <w:pPr>
        <w:pStyle w:val="Bullet1"/>
      </w:pPr>
      <w:r>
        <w:t>Program administrator EnergyPro Models,</w:t>
      </w:r>
    </w:p>
    <w:p w14:paraId="2A417CEE" w14:textId="38E7CFEA" w:rsidR="00A73AD5" w:rsidRDefault="00A73AD5" w:rsidP="00AF6680">
      <w:pPr>
        <w:pStyle w:val="Bullet1"/>
      </w:pPr>
      <w:r>
        <w:t>Interval meter electric billing data,</w:t>
      </w:r>
    </w:p>
    <w:p w14:paraId="30200BF1" w14:textId="5876DE69" w:rsidR="00A73AD5" w:rsidRDefault="00A73AD5" w:rsidP="00AF6680">
      <w:pPr>
        <w:pStyle w:val="Bullet1"/>
      </w:pPr>
      <w:r>
        <w:t>Monthly gas meter data,</w:t>
      </w:r>
    </w:p>
    <w:p w14:paraId="695FC840" w14:textId="77777777" w:rsidR="000766A4" w:rsidRDefault="000766A4" w:rsidP="001F485C">
      <w:pPr>
        <w:pStyle w:val="Bullet1"/>
      </w:pPr>
      <w:r>
        <w:t>2013-2014 Impact Assessment survey results, and</w:t>
      </w:r>
    </w:p>
    <w:p w14:paraId="1A92277A" w14:textId="77777777" w:rsidR="000766A4" w:rsidRPr="007F1FDF" w:rsidRDefault="000766A4" w:rsidP="001F485C">
      <w:pPr>
        <w:pStyle w:val="Bullet1"/>
      </w:pPr>
      <w:r>
        <w:t xml:space="preserve">2015 site visit and telephone survey results. </w:t>
      </w:r>
    </w:p>
    <w:p w14:paraId="74014032" w14:textId="458A5699" w:rsidR="007230EC" w:rsidRDefault="007230EC" w:rsidP="008E413A">
      <w:pPr>
        <w:pStyle w:val="ParaText"/>
        <w:rPr>
          <w:noProof/>
        </w:rPr>
      </w:pPr>
      <w:r>
        <w:rPr>
          <w:noProof/>
        </w:rPr>
        <w:t xml:space="preserve">The </w:t>
      </w:r>
      <w:r w:rsidRPr="007F6A78">
        <w:rPr>
          <w:b/>
          <w:noProof/>
        </w:rPr>
        <w:t xml:space="preserve">CPUC tracking data </w:t>
      </w:r>
      <w:r>
        <w:rPr>
          <w:noProof/>
        </w:rPr>
        <w:t>will be used as ex ante savings claimed for each program and administrator. This includes f</w:t>
      </w:r>
      <w:r w:rsidR="00E92C35">
        <w:rPr>
          <w:noProof/>
        </w:rPr>
        <w:t>irst year net and gross savings</w:t>
      </w:r>
      <w:r>
        <w:rPr>
          <w:noProof/>
        </w:rPr>
        <w:t>. These data will be used as the basis for t</w:t>
      </w:r>
      <w:r w:rsidR="00960FDA">
        <w:rPr>
          <w:noProof/>
        </w:rPr>
        <w:t>he evaluated realization rates and will be obtained through the CPUC contracted data managers.</w:t>
      </w:r>
    </w:p>
    <w:p w14:paraId="6F08A5F0" w14:textId="4741000E" w:rsidR="00960FDA" w:rsidRDefault="00960FDA" w:rsidP="008E413A">
      <w:pPr>
        <w:pStyle w:val="ParaText"/>
        <w:rPr>
          <w:noProof/>
        </w:rPr>
      </w:pPr>
      <w:r w:rsidRPr="007F6A78">
        <w:rPr>
          <w:b/>
          <w:noProof/>
        </w:rPr>
        <w:t>Program administrator project details</w:t>
      </w:r>
      <w:r>
        <w:rPr>
          <w:noProof/>
        </w:rPr>
        <w:t>, including measure</w:t>
      </w:r>
      <w:r w:rsidR="007F6A78">
        <w:rPr>
          <w:noProof/>
        </w:rPr>
        <w:t>, project,</w:t>
      </w:r>
      <w:r>
        <w:rPr>
          <w:noProof/>
        </w:rPr>
        <w:t xml:space="preserve"> and site specific information, will be used during both the telephone and onsite data collection activities. Specifically, the telephone surveys will verify installation</w:t>
      </w:r>
      <w:r w:rsidR="007F6A78">
        <w:rPr>
          <w:noProof/>
        </w:rPr>
        <w:t xml:space="preserve">, and </w:t>
      </w:r>
      <w:r>
        <w:rPr>
          <w:noProof/>
        </w:rPr>
        <w:t xml:space="preserve">ask the NFR </w:t>
      </w:r>
      <w:r w:rsidR="008473C4">
        <w:rPr>
          <w:noProof/>
        </w:rPr>
        <w:t xml:space="preserve">and baseline batteries </w:t>
      </w:r>
      <w:r>
        <w:rPr>
          <w:noProof/>
        </w:rPr>
        <w:t>of question</w:t>
      </w:r>
      <w:r w:rsidR="007F6A78">
        <w:rPr>
          <w:noProof/>
        </w:rPr>
        <w:t>s on identified measures</w:t>
      </w:r>
      <w:r>
        <w:rPr>
          <w:noProof/>
        </w:rPr>
        <w:t xml:space="preserve">, and </w:t>
      </w:r>
      <w:r w:rsidR="000755FD">
        <w:rPr>
          <w:noProof/>
        </w:rPr>
        <w:t xml:space="preserve"> site </w:t>
      </w:r>
      <w:r>
        <w:rPr>
          <w:noProof/>
        </w:rPr>
        <w:t>visits will be verifying key measure</w:t>
      </w:r>
      <w:r w:rsidR="00AF6680">
        <w:rPr>
          <w:noProof/>
        </w:rPr>
        <w:t xml:space="preserve"> and building</w:t>
      </w:r>
      <w:r>
        <w:rPr>
          <w:noProof/>
        </w:rPr>
        <w:t xml:space="preserve"> characteristics while on</w:t>
      </w:r>
      <w:r w:rsidR="000755FD">
        <w:rPr>
          <w:noProof/>
        </w:rPr>
        <w:t xml:space="preserve"> </w:t>
      </w:r>
      <w:r>
        <w:rPr>
          <w:noProof/>
        </w:rPr>
        <w:t xml:space="preserve">site. </w:t>
      </w:r>
      <w:r w:rsidR="007F6A78">
        <w:rPr>
          <w:noProof/>
        </w:rPr>
        <w:t xml:space="preserve">Additionally, these </w:t>
      </w:r>
      <w:r w:rsidR="007F6A78">
        <w:rPr>
          <w:noProof/>
        </w:rPr>
        <w:lastRenderedPageBreak/>
        <w:t xml:space="preserve">details will allow the </w:t>
      </w:r>
      <w:r w:rsidR="00576380">
        <w:rPr>
          <w:noProof/>
        </w:rPr>
        <w:t>Evaluation Team</w:t>
      </w:r>
      <w:r w:rsidR="007F6A78">
        <w:rPr>
          <w:noProof/>
        </w:rPr>
        <w:t xml:space="preserve"> to link project characteristics and contact information to the CPUC tracking data. </w:t>
      </w:r>
      <w:r>
        <w:rPr>
          <w:noProof/>
        </w:rPr>
        <w:t>These project details will be requested from BayREN and SoCalREN for all completed 2013-2015 projects at the onset of this evaluation.</w:t>
      </w:r>
    </w:p>
    <w:p w14:paraId="39D2D80E" w14:textId="77777777" w:rsidR="00960FDA" w:rsidRDefault="00960FDA" w:rsidP="008E413A">
      <w:pPr>
        <w:pStyle w:val="ParaText"/>
        <w:rPr>
          <w:noProof/>
        </w:rPr>
      </w:pPr>
      <w:r w:rsidRPr="006A620B">
        <w:rPr>
          <w:b/>
          <w:noProof/>
        </w:rPr>
        <w:t>Property level consumption data</w:t>
      </w:r>
      <w:r>
        <w:rPr>
          <w:noProof/>
        </w:rPr>
        <w:t xml:space="preserve"> </w:t>
      </w:r>
      <w:r w:rsidR="00EA7BC7">
        <w:rPr>
          <w:noProof/>
        </w:rPr>
        <w:t xml:space="preserve">will be requested through the the CPUC contracted data managers for the subset of properties visited during the onsite visits. Consumption data will be linked to the meter numbers found onsite and used to calibrate adjusted EnergyPro models. </w:t>
      </w:r>
    </w:p>
    <w:p w14:paraId="68B77244" w14:textId="77777777" w:rsidR="00AF6680" w:rsidRDefault="00AF6680" w:rsidP="00AF6680">
      <w:pPr>
        <w:pStyle w:val="ParaText"/>
        <w:rPr>
          <w:noProof/>
        </w:rPr>
      </w:pPr>
      <w:r>
        <w:rPr>
          <w:noProof/>
        </w:rPr>
        <w:t xml:space="preserve">The </w:t>
      </w:r>
      <w:r w:rsidRPr="007F6A78">
        <w:rPr>
          <w:b/>
          <w:noProof/>
        </w:rPr>
        <w:t xml:space="preserve">program administrator </w:t>
      </w:r>
      <w:r>
        <w:rPr>
          <w:b/>
          <w:noProof/>
        </w:rPr>
        <w:t>EnergyPro</w:t>
      </w:r>
      <w:r w:rsidRPr="007F6A78">
        <w:rPr>
          <w:b/>
          <w:noProof/>
        </w:rPr>
        <w:t xml:space="preserve"> Models</w:t>
      </w:r>
      <w:r>
        <w:rPr>
          <w:noProof/>
        </w:rPr>
        <w:t xml:space="preserve"> will be utilized as a basis for the ex post savings models. These EnergyPro models will be modified with values onsite, as necessary, and calibrated to actual consumption values for the final ex post savings estimates. These models will be requested for the subset of participants that are chosen for onsite visits. </w:t>
      </w:r>
    </w:p>
    <w:p w14:paraId="60A78B18" w14:textId="77777777" w:rsidR="00EA7BC7" w:rsidRDefault="00EA7BC7" w:rsidP="008E413A">
      <w:pPr>
        <w:pStyle w:val="ParaText"/>
        <w:rPr>
          <w:noProof/>
        </w:rPr>
      </w:pPr>
      <w:r>
        <w:rPr>
          <w:noProof/>
        </w:rPr>
        <w:t>Net to gross and baseline assessment survey results from the</w:t>
      </w:r>
      <w:r w:rsidRPr="006A620B">
        <w:rPr>
          <w:b/>
          <w:noProof/>
        </w:rPr>
        <w:t xml:space="preserve"> 2013-2014 REN Impact Assessment </w:t>
      </w:r>
      <w:r>
        <w:rPr>
          <w:noProof/>
        </w:rPr>
        <w:t xml:space="preserve">will be  utilized for this evaluation. In this manner, the </w:t>
      </w:r>
      <w:r w:rsidR="00576380">
        <w:rPr>
          <w:noProof/>
        </w:rPr>
        <w:t>Evaluation Team</w:t>
      </w:r>
      <w:r>
        <w:rPr>
          <w:noProof/>
        </w:rPr>
        <w:t xml:space="preserve"> can avoid survey fatigue among participants that have already been contacted for the previous assessment, and mitigate any recall bias </w:t>
      </w:r>
      <w:r w:rsidR="00EF50C4">
        <w:rPr>
          <w:noProof/>
        </w:rPr>
        <w:t xml:space="preserve">associated with calling properties that participated several years back. </w:t>
      </w:r>
    </w:p>
    <w:p w14:paraId="1690033E" w14:textId="258F4BA5" w:rsidR="001F5A2A" w:rsidRDefault="001F5A2A" w:rsidP="008E413A">
      <w:pPr>
        <w:pStyle w:val="ParaText"/>
        <w:rPr>
          <w:noProof/>
        </w:rPr>
      </w:pPr>
      <w:r>
        <w:rPr>
          <w:noProof/>
        </w:rPr>
        <w:t xml:space="preserve">As mentioned earlier, the </w:t>
      </w:r>
      <w:r w:rsidR="00576380">
        <w:rPr>
          <w:noProof/>
        </w:rPr>
        <w:t>Evaluation Team</w:t>
      </w:r>
      <w:r>
        <w:rPr>
          <w:noProof/>
        </w:rPr>
        <w:t xml:space="preserve"> will be conducting </w:t>
      </w:r>
      <w:r w:rsidRPr="006A620B">
        <w:rPr>
          <w:b/>
          <w:noProof/>
        </w:rPr>
        <w:t>on</w:t>
      </w:r>
      <w:r w:rsidR="000755FD">
        <w:rPr>
          <w:b/>
          <w:noProof/>
        </w:rPr>
        <w:t xml:space="preserve"> </w:t>
      </w:r>
      <w:r w:rsidRPr="006A620B">
        <w:rPr>
          <w:b/>
          <w:noProof/>
        </w:rPr>
        <w:t xml:space="preserve">site visits </w:t>
      </w:r>
      <w:r w:rsidR="001F5F25">
        <w:rPr>
          <w:noProof/>
        </w:rPr>
        <w:t xml:space="preserve">to a sample of 20 to </w:t>
      </w:r>
      <w:r>
        <w:rPr>
          <w:noProof/>
        </w:rPr>
        <w:t xml:space="preserve">25 2013-2015 multifamily participants to collect meter numbers and verify measure details for key project measures. </w:t>
      </w:r>
      <w:r w:rsidR="003F76E8">
        <w:rPr>
          <w:noProof/>
        </w:rPr>
        <w:t>Due to the custom nature of the multifamily whole building projects, key measures will be defined on an individual project basis. Generally speaking, key measures will be those that are expected to contribute most to the energy consumption and/or savings at a given property.</w:t>
      </w:r>
      <w:r>
        <w:rPr>
          <w:noProof/>
        </w:rPr>
        <w:t xml:space="preserve"> </w:t>
      </w:r>
      <w:r w:rsidR="008473C4">
        <w:rPr>
          <w:noProof/>
        </w:rPr>
        <w:t>Additionally, the results of the baseline assessment (asked during site visit rec</w:t>
      </w:r>
      <w:r w:rsidR="00E92C35">
        <w:rPr>
          <w:noProof/>
        </w:rPr>
        <w:t>ruitment</w:t>
      </w:r>
      <w:r w:rsidR="006A620B">
        <w:rPr>
          <w:noProof/>
        </w:rPr>
        <w:t>)</w:t>
      </w:r>
      <w:r w:rsidR="00E92C35">
        <w:rPr>
          <w:noProof/>
        </w:rPr>
        <w:t xml:space="preserve"> </w:t>
      </w:r>
      <w:r w:rsidR="006A620B">
        <w:rPr>
          <w:noProof/>
        </w:rPr>
        <w:t>will allow the Energy</w:t>
      </w:r>
      <w:r w:rsidR="008473C4">
        <w:rPr>
          <w:noProof/>
        </w:rPr>
        <w:t xml:space="preserve">Pro models to adjust savings for measures identified as replace on burnout (ROB) or early replacement (ER). </w:t>
      </w:r>
    </w:p>
    <w:p w14:paraId="2DD92E1A" w14:textId="77777777" w:rsidR="000C48DE" w:rsidRDefault="006248E3" w:rsidP="001F5A2A">
      <w:pPr>
        <w:pStyle w:val="Heading1"/>
        <w:rPr>
          <w:noProof/>
        </w:rPr>
      </w:pPr>
      <w:bookmarkStart w:id="37" w:name="_Toc455072261"/>
      <w:bookmarkStart w:id="38" w:name="_Toc456174338"/>
      <w:r>
        <w:rPr>
          <w:noProof/>
        </w:rPr>
        <w:t xml:space="preserve">Work Plan, </w:t>
      </w:r>
      <w:r w:rsidR="00C716D1">
        <w:rPr>
          <w:noProof/>
        </w:rPr>
        <w:t>Budget</w:t>
      </w:r>
      <w:r>
        <w:rPr>
          <w:noProof/>
        </w:rPr>
        <w:t>,</w:t>
      </w:r>
      <w:r w:rsidR="001F5A2A">
        <w:rPr>
          <w:noProof/>
        </w:rPr>
        <w:t xml:space="preserve"> and </w:t>
      </w:r>
      <w:r w:rsidR="00C716D1">
        <w:rPr>
          <w:noProof/>
        </w:rPr>
        <w:t>Schedule</w:t>
      </w:r>
      <w:bookmarkEnd w:id="37"/>
      <w:bookmarkEnd w:id="38"/>
    </w:p>
    <w:p w14:paraId="7FCA6758" w14:textId="77777777" w:rsidR="001F5A2A" w:rsidRDefault="00B534F9" w:rsidP="008E413A">
      <w:pPr>
        <w:pStyle w:val="ParaText"/>
        <w:rPr>
          <w:noProof/>
        </w:rPr>
      </w:pPr>
      <w:r>
        <w:rPr>
          <w:noProof/>
        </w:rPr>
        <w:t xml:space="preserve">The five evalution tasks discussed in Section </w:t>
      </w:r>
      <w:r>
        <w:rPr>
          <w:noProof/>
        </w:rPr>
        <w:fldChar w:fldCharType="begin"/>
      </w:r>
      <w:r>
        <w:rPr>
          <w:noProof/>
        </w:rPr>
        <w:instrText xml:space="preserve"> REF _Ref454371429 \r \h </w:instrText>
      </w:r>
      <w:r>
        <w:rPr>
          <w:noProof/>
        </w:rPr>
      </w:r>
      <w:r>
        <w:rPr>
          <w:noProof/>
        </w:rPr>
        <w:fldChar w:fldCharType="separate"/>
      </w:r>
      <w:r w:rsidR="00A53E5B">
        <w:rPr>
          <w:noProof/>
        </w:rPr>
        <w:t>2</w:t>
      </w:r>
      <w:r>
        <w:rPr>
          <w:noProof/>
        </w:rPr>
        <w:fldChar w:fldCharType="end"/>
      </w:r>
      <w:r>
        <w:rPr>
          <w:noProof/>
        </w:rPr>
        <w:t xml:space="preserve"> are s</w:t>
      </w:r>
      <w:r w:rsidR="004B255C">
        <w:rPr>
          <w:noProof/>
        </w:rPr>
        <w:t xml:space="preserve">pread throughout six </w:t>
      </w:r>
      <w:r>
        <w:rPr>
          <w:noProof/>
        </w:rPr>
        <w:t>tasks for invoicing</w:t>
      </w:r>
      <w:r w:rsidR="004B255C">
        <w:rPr>
          <w:noProof/>
        </w:rPr>
        <w:t xml:space="preserve"> and tracking</w:t>
      </w:r>
      <w:r>
        <w:rPr>
          <w:noProof/>
        </w:rPr>
        <w:t xml:space="preserve"> purposes</w:t>
      </w:r>
      <w:r w:rsidR="0060173C">
        <w:rPr>
          <w:noProof/>
        </w:rPr>
        <w:t xml:space="preserve">. </w:t>
      </w:r>
      <w:r w:rsidR="004B255C">
        <w:rPr>
          <w:noProof/>
        </w:rPr>
        <w:t xml:space="preserve">The following sections present these tasks, assigned budgets, and target schedule. </w:t>
      </w:r>
    </w:p>
    <w:p w14:paraId="12EB9B40" w14:textId="77777777" w:rsidR="006248E3" w:rsidRDefault="006248E3" w:rsidP="0060173C">
      <w:pPr>
        <w:pStyle w:val="Heading2"/>
        <w:rPr>
          <w:noProof/>
        </w:rPr>
      </w:pPr>
      <w:bookmarkStart w:id="39" w:name="_Toc455072262"/>
      <w:bookmarkStart w:id="40" w:name="_Toc456174339"/>
      <w:r>
        <w:rPr>
          <w:noProof/>
        </w:rPr>
        <w:t>Work Plan</w:t>
      </w:r>
      <w:bookmarkEnd w:id="39"/>
      <w:bookmarkEnd w:id="40"/>
    </w:p>
    <w:p w14:paraId="73AF9886" w14:textId="0FBB7861" w:rsidR="006248E3" w:rsidRDefault="006248E3" w:rsidP="006248E3">
      <w:pPr>
        <w:pStyle w:val="ParaText"/>
      </w:pPr>
      <w:r>
        <w:t>This section</w:t>
      </w:r>
      <w:r w:rsidR="004B255C">
        <w:t xml:space="preserve"> presents the tasks </w:t>
      </w:r>
      <w:r>
        <w:t xml:space="preserve">that will be conducted as part of this evaluation. </w:t>
      </w:r>
      <w:r w:rsidR="004B255C">
        <w:t>These tasks are the same as outlined in the CPUC Work</w:t>
      </w:r>
      <w:r w:rsidR="00086D01">
        <w:t xml:space="preserve"> Order</w:t>
      </w:r>
      <w:r w:rsidR="004B255C">
        <w:rPr>
          <w:rStyle w:val="FootnoteReference"/>
        </w:rPr>
        <w:footnoteReference w:id="24"/>
      </w:r>
      <w:r w:rsidR="004B255C">
        <w:t xml:space="preserve"> and will be</w:t>
      </w:r>
      <w:r w:rsidR="00717B58">
        <w:t xml:space="preserve"> used to invoice and track the evaluation activities</w:t>
      </w:r>
      <w:r w:rsidR="004B255C">
        <w:t xml:space="preserve">. </w:t>
      </w:r>
    </w:p>
    <w:p w14:paraId="3C88740E" w14:textId="77777777" w:rsidR="00DF7E5A" w:rsidRDefault="00DF7E5A" w:rsidP="006248E3">
      <w:pPr>
        <w:pStyle w:val="ParaText"/>
      </w:pPr>
    </w:p>
    <w:p w14:paraId="327B4850" w14:textId="77777777" w:rsidR="006248E3" w:rsidRPr="006248E3" w:rsidRDefault="006248E3" w:rsidP="006248E3">
      <w:pPr>
        <w:pStyle w:val="ParaText"/>
        <w:rPr>
          <w:i/>
          <w:u w:val="single"/>
        </w:rPr>
      </w:pPr>
      <w:r w:rsidRPr="006248E3">
        <w:rPr>
          <w:i/>
          <w:u w:val="single"/>
        </w:rPr>
        <w:lastRenderedPageBreak/>
        <w:t>Task 1 – Prime Contractor Project Management and Coordination</w:t>
      </w:r>
    </w:p>
    <w:p w14:paraId="3E91F3D0" w14:textId="77777777" w:rsidR="006248E3" w:rsidRPr="006248E3" w:rsidRDefault="006248E3" w:rsidP="006248E3">
      <w:pPr>
        <w:pStyle w:val="ParaText"/>
      </w:pPr>
      <w:r w:rsidRPr="006248E3">
        <w:t xml:space="preserve">The objective of this task is to provide all necessary coordination and communication across the </w:t>
      </w:r>
      <w:r w:rsidR="0004276E">
        <w:t>Evaluation</w:t>
      </w:r>
      <w:r w:rsidRPr="006248E3">
        <w:t xml:space="preserve"> Team, CPUC staff and its consultants, and other related work order teams. The </w:t>
      </w:r>
      <w:r w:rsidR="0004276E">
        <w:t>Evaluation</w:t>
      </w:r>
      <w:r w:rsidRPr="006248E3">
        <w:t xml:space="preserve"> Team will ensure that the CPUC staff and its consultants are kept fully informed of the project status through a combination of regularly scheduled telephone calls, meetings, and written project status reports to document status and results. Monthly progress reports will be submitted with invoices. Bi-monthly spending reports will be posted to Basecamp. Project Team meetings consisting of the </w:t>
      </w:r>
      <w:r w:rsidR="0004276E">
        <w:t>Evaluation</w:t>
      </w:r>
      <w:r w:rsidRPr="006248E3">
        <w:t xml:space="preserve"> Team and </w:t>
      </w:r>
      <w:r w:rsidR="0004276E">
        <w:t>Energy Division</w:t>
      </w:r>
      <w:r w:rsidRPr="006248E3">
        <w:t xml:space="preserve"> </w:t>
      </w:r>
      <w:r w:rsidR="0004276E">
        <w:t xml:space="preserve">(ED) </w:t>
      </w:r>
      <w:r w:rsidRPr="006248E3">
        <w:t xml:space="preserve">staff and its agents will be held on a regular basis, and an agenda will be provided in advance summarizing project status. </w:t>
      </w:r>
    </w:p>
    <w:p w14:paraId="004348BC" w14:textId="77777777" w:rsidR="006248E3" w:rsidRPr="006248E3" w:rsidRDefault="006248E3" w:rsidP="006248E3">
      <w:pPr>
        <w:pStyle w:val="ParaText"/>
        <w:rPr>
          <w:i/>
          <w:u w:val="single"/>
        </w:rPr>
      </w:pPr>
      <w:r w:rsidRPr="006248E3">
        <w:rPr>
          <w:i/>
          <w:u w:val="single"/>
        </w:rPr>
        <w:t>Task 2 – Stakeholder Engagement</w:t>
      </w:r>
    </w:p>
    <w:p w14:paraId="304A036E" w14:textId="77777777" w:rsidR="006248E3" w:rsidRPr="006248E3" w:rsidRDefault="006248E3" w:rsidP="006248E3">
      <w:pPr>
        <w:pStyle w:val="ParaText"/>
      </w:pPr>
      <w:r w:rsidRPr="006248E3">
        <w:t xml:space="preserve">The </w:t>
      </w:r>
      <w:r w:rsidR="0004276E">
        <w:t>Evaluation</w:t>
      </w:r>
      <w:r w:rsidRPr="006248E3">
        <w:t xml:space="preserve"> Team will attend any relevant </w:t>
      </w:r>
      <w:r w:rsidR="0004276E">
        <w:t>Stakeholder Advisory Group (</w:t>
      </w:r>
      <w:r w:rsidRPr="006248E3">
        <w:t>StAG</w:t>
      </w:r>
      <w:r w:rsidR="0004276E">
        <w:t>)</w:t>
      </w:r>
      <w:r w:rsidRPr="006248E3">
        <w:t xml:space="preserve"> and </w:t>
      </w:r>
      <w:r w:rsidR="000C401F">
        <w:t>Program Coordination Group (</w:t>
      </w:r>
      <w:r w:rsidRPr="006248E3">
        <w:t>PCG</w:t>
      </w:r>
      <w:r w:rsidR="000C401F">
        <w:t>)</w:t>
      </w:r>
      <w:r w:rsidRPr="006248E3">
        <w:t xml:space="preserve"> meetings, and provide a status update on this project. A webinar will also be hosted to present the research plan at the beginning of the project. A second webinar will hosted to present the draft report when it has been approved by ED staff.</w:t>
      </w:r>
    </w:p>
    <w:p w14:paraId="2272501B" w14:textId="77777777" w:rsidR="006248E3" w:rsidRPr="006248E3" w:rsidRDefault="006248E3" w:rsidP="006248E3">
      <w:pPr>
        <w:pStyle w:val="ParaText"/>
        <w:rPr>
          <w:i/>
          <w:u w:val="single"/>
        </w:rPr>
      </w:pPr>
      <w:r w:rsidRPr="006248E3">
        <w:rPr>
          <w:i/>
          <w:u w:val="single"/>
        </w:rPr>
        <w:t>Task 3 – Develop Detailed Research Plan</w:t>
      </w:r>
    </w:p>
    <w:p w14:paraId="1677E611" w14:textId="77777777" w:rsidR="006248E3" w:rsidRPr="006248E3" w:rsidRDefault="006248E3" w:rsidP="006248E3">
      <w:pPr>
        <w:pStyle w:val="ParaText"/>
        <w:rPr>
          <w:bCs/>
        </w:rPr>
      </w:pPr>
      <w:r w:rsidRPr="006248E3">
        <w:rPr>
          <w:bCs/>
        </w:rPr>
        <w:t xml:space="preserve">This task covers all contractor study team work related to the development and approval of the detailed Research Plan and its component. </w:t>
      </w:r>
      <w:r w:rsidRPr="006248E3">
        <w:t xml:space="preserve">This task includes the development of the Research Plan and any ongoing revisions to the plan during the implementation phase. </w:t>
      </w:r>
    </w:p>
    <w:p w14:paraId="10C1CDE1" w14:textId="4BFA60B6" w:rsidR="006248E3" w:rsidRPr="006248E3" w:rsidRDefault="00E92C35" w:rsidP="006248E3">
      <w:pPr>
        <w:pStyle w:val="ParaText"/>
      </w:pPr>
      <w:r>
        <w:t>A</w:t>
      </w:r>
      <w:r w:rsidR="006248E3" w:rsidRPr="006248E3">
        <w:t xml:space="preserve">n internal draft of the research plan </w:t>
      </w:r>
      <w:r>
        <w:t>was provided to CPUC on</w:t>
      </w:r>
      <w:r w:rsidR="006248E3" w:rsidRPr="006248E3">
        <w:t xml:space="preserve"> </w:t>
      </w:r>
      <w:r w:rsidR="000C401F">
        <w:t>June 30</w:t>
      </w:r>
      <w:r w:rsidR="006248E3" w:rsidRPr="006248E3">
        <w:t xml:space="preserve">, 2016. </w:t>
      </w:r>
      <w:r>
        <w:t>A</w:t>
      </w:r>
      <w:r w:rsidR="006248E3" w:rsidRPr="006248E3">
        <w:t xml:space="preserve"> public draft research plan will be distributed to the StAG and PCG for review and comment du</w:t>
      </w:r>
      <w:r w:rsidR="00D337F7">
        <w:t>ring a two week comment period</w:t>
      </w:r>
      <w:r w:rsidR="006248E3" w:rsidRPr="006248E3">
        <w:t>. Should the IOUs decline to exercise this option, an advance review draft will not be provided to the IOUs via basecamp.</w:t>
      </w:r>
    </w:p>
    <w:p w14:paraId="7603F0F3" w14:textId="77777777" w:rsidR="006248E3" w:rsidRPr="006248E3" w:rsidRDefault="006248E3" w:rsidP="006248E3">
      <w:pPr>
        <w:pStyle w:val="ParaText"/>
      </w:pPr>
      <w:r w:rsidRPr="006248E3">
        <w:t xml:space="preserve">As part of Task 2 above -- during the comment period -- a public webinar will conducted by the </w:t>
      </w:r>
      <w:r w:rsidR="0004276E">
        <w:t>Evaluation</w:t>
      </w:r>
      <w:r w:rsidRPr="006248E3">
        <w:t xml:space="preserve"> Team to present the draft research plan, answer questions, and receive comments from the StAG and PCG. Upon close of the comment period, the </w:t>
      </w:r>
      <w:r w:rsidR="0004276E">
        <w:t>Evaluation</w:t>
      </w:r>
      <w:r w:rsidRPr="006248E3">
        <w:t xml:space="preserve"> Team will compile the public comments received in a matrix that will have draft responses prepared by the </w:t>
      </w:r>
      <w:r w:rsidR="0004276E">
        <w:t>Evaluation</w:t>
      </w:r>
      <w:r w:rsidRPr="006248E3">
        <w:t xml:space="preserve"> Team.  The </w:t>
      </w:r>
      <w:r w:rsidR="0004276E">
        <w:t>Evaluation</w:t>
      </w:r>
      <w:r w:rsidRPr="006248E3">
        <w:t xml:space="preserve"> Team will provide ED staff and its agents an opportunity to improve and inform the responses. The completed matrix will then be posted to the web as appropriate for public sharing.</w:t>
      </w:r>
    </w:p>
    <w:p w14:paraId="103F8DAC" w14:textId="77777777" w:rsidR="006248E3" w:rsidRPr="006248E3" w:rsidRDefault="006248E3" w:rsidP="006248E3">
      <w:pPr>
        <w:pStyle w:val="ParaText"/>
      </w:pPr>
      <w:r w:rsidRPr="006248E3">
        <w:t xml:space="preserve">Following the webinar and response to comments process, the </w:t>
      </w:r>
      <w:r w:rsidR="0004276E">
        <w:t>Evaluation</w:t>
      </w:r>
      <w:r w:rsidRPr="006248E3">
        <w:t xml:space="preserve"> Team will fully revise the draft research plan to the extent necessary to appropriately res</w:t>
      </w:r>
      <w:r w:rsidR="00D337F7">
        <w:t xml:space="preserve">pond to ED and public comments. </w:t>
      </w:r>
      <w:r w:rsidRPr="006248E3">
        <w:t>This revised draft research plan will be distributed to ED staff and their advisors for review and approval. Once the revised draft research plan is approved by the CPUC project manager, a final research plan will be posted to the Public Documents Area (PDA) of the CPUC website to be made available to the public.</w:t>
      </w:r>
      <w:r w:rsidRPr="006248E3" w:rsidDel="001A26A3">
        <w:t xml:space="preserve"> </w:t>
      </w:r>
    </w:p>
    <w:p w14:paraId="712AA878" w14:textId="77777777" w:rsidR="006248E3" w:rsidRPr="006248E3" w:rsidRDefault="006248E3" w:rsidP="006248E3">
      <w:pPr>
        <w:pStyle w:val="ParaText"/>
        <w:rPr>
          <w:i/>
          <w:u w:val="single"/>
        </w:rPr>
      </w:pPr>
      <w:r w:rsidRPr="006248E3">
        <w:rPr>
          <w:i/>
          <w:u w:val="single"/>
        </w:rPr>
        <w:lastRenderedPageBreak/>
        <w:t>Task 4 – Multifamily Whole Building Program Impact Evaluation</w:t>
      </w:r>
    </w:p>
    <w:p w14:paraId="0C8DEB26" w14:textId="77777777" w:rsidR="00D337F7" w:rsidRDefault="006248E3" w:rsidP="006248E3">
      <w:pPr>
        <w:pStyle w:val="ParaText"/>
      </w:pPr>
      <w:r w:rsidRPr="006248E3">
        <w:t xml:space="preserve">This task will perform both a gross and net impact analysis of the BayREN and SoCalREN Multifamily Whole Building Programs.   The gross analysis will utilize on-site visits to collect data to support a </w:t>
      </w:r>
      <w:r w:rsidR="00D337F7">
        <w:t>calibrated engineering analysis.</w:t>
      </w:r>
      <w:r w:rsidRPr="006248E3">
        <w:t xml:space="preserve"> </w:t>
      </w:r>
    </w:p>
    <w:p w14:paraId="3B82C57B" w14:textId="77777777" w:rsidR="006248E3" w:rsidRPr="006248E3" w:rsidRDefault="006248E3" w:rsidP="006248E3">
      <w:pPr>
        <w:pStyle w:val="ParaText"/>
      </w:pPr>
      <w:r w:rsidRPr="006248E3">
        <w:t>Task 4.1</w:t>
      </w:r>
      <w:r w:rsidRPr="006248E3">
        <w:tab/>
        <w:t>Develop Data Collection Instruments, Data Development and Sample Pull</w:t>
      </w:r>
    </w:p>
    <w:p w14:paraId="22DECDC3" w14:textId="7619AF88" w:rsidR="006248E3" w:rsidRPr="006248E3" w:rsidRDefault="006248E3" w:rsidP="006248E3">
      <w:pPr>
        <w:pStyle w:val="ParaText"/>
      </w:pPr>
      <w:r w:rsidRPr="006248E3">
        <w:t>This task is composed of developing all data collection instruments for telephone surveys and on-sites.  The telephone survey will be based on the instrument used for 2013-</w:t>
      </w:r>
      <w:r w:rsidR="001A12E1">
        <w:t>20</w:t>
      </w:r>
      <w:r w:rsidRPr="006248E3">
        <w:t>14 REN Impact Assessment.  This task will also include all relevant data management activities with the participant tracking system in order to pull the telephone and on-site samples.</w:t>
      </w:r>
    </w:p>
    <w:p w14:paraId="58886FA8" w14:textId="77777777" w:rsidR="006248E3" w:rsidRPr="006248E3" w:rsidRDefault="006248E3" w:rsidP="006248E3">
      <w:pPr>
        <w:pStyle w:val="ParaText"/>
      </w:pPr>
      <w:r w:rsidRPr="006248E3">
        <w:t>Task 4.2</w:t>
      </w:r>
      <w:r w:rsidRPr="006248E3">
        <w:tab/>
        <w:t>Data Collection</w:t>
      </w:r>
    </w:p>
    <w:p w14:paraId="05305441" w14:textId="77777777" w:rsidR="006248E3" w:rsidRPr="006248E3" w:rsidRDefault="006248E3" w:rsidP="006248E3">
      <w:pPr>
        <w:pStyle w:val="ParaText"/>
      </w:pPr>
      <w:r w:rsidRPr="006248E3">
        <w:t xml:space="preserve">This task is composed of implementing the telephone survey </w:t>
      </w:r>
      <w:r w:rsidR="00CB23A8">
        <w:t xml:space="preserve">and 20-25 site visits.  This </w:t>
      </w:r>
      <w:r w:rsidRPr="006248E3">
        <w:t>t</w:t>
      </w:r>
      <w:r w:rsidR="00CB23A8">
        <w:t xml:space="preserve">ask will contribute to </w:t>
      </w:r>
      <w:r w:rsidR="001F0DE9">
        <w:t>the</w:t>
      </w:r>
      <w:r w:rsidR="00CB23A8">
        <w:t xml:space="preserve"> baseline assessment, NFR</w:t>
      </w:r>
      <w:r w:rsidR="001F0DE9">
        <w:t xml:space="preserve"> </w:t>
      </w:r>
      <w:r w:rsidR="00CB23A8">
        <w:t xml:space="preserve">estimates, consumption analysis, and </w:t>
      </w:r>
      <w:r w:rsidRPr="006248E3">
        <w:t>simulation models.  </w:t>
      </w:r>
    </w:p>
    <w:p w14:paraId="2A1CFB62" w14:textId="77777777" w:rsidR="006248E3" w:rsidRPr="006248E3" w:rsidRDefault="006248E3" w:rsidP="006248E3">
      <w:pPr>
        <w:pStyle w:val="ParaText"/>
      </w:pPr>
      <w:r w:rsidRPr="006248E3">
        <w:t>Task 4.3</w:t>
      </w:r>
      <w:r w:rsidRPr="006248E3">
        <w:tab/>
        <w:t xml:space="preserve">Calibrated Simulation Modeling </w:t>
      </w:r>
    </w:p>
    <w:p w14:paraId="34E4BA2A" w14:textId="68E93C38" w:rsidR="006248E3" w:rsidRPr="006248E3" w:rsidRDefault="006248E3" w:rsidP="006248E3">
      <w:pPr>
        <w:pStyle w:val="ParaText"/>
      </w:pPr>
      <w:r w:rsidRPr="006248E3">
        <w:t xml:space="preserve">This task will involve modelling participants’ buildings using </w:t>
      </w:r>
      <w:r w:rsidR="00740274">
        <w:t>EnergyPro</w:t>
      </w:r>
      <w:r w:rsidRPr="006248E3">
        <w:t xml:space="preserve"> simulation modelling software, using site specific inputs verified on</w:t>
      </w:r>
      <w:r w:rsidR="000755FD">
        <w:t xml:space="preserve"> </w:t>
      </w:r>
      <w:r w:rsidRPr="006248E3">
        <w:t xml:space="preserve">site, and pre-program billing consumption data (from meter numbers collected onsite).  These models will allow for the development of site specific ex post savings estimates. </w:t>
      </w:r>
    </w:p>
    <w:p w14:paraId="45C6B5C0" w14:textId="77777777" w:rsidR="006248E3" w:rsidRPr="006248E3" w:rsidRDefault="006248E3" w:rsidP="006248E3">
      <w:pPr>
        <w:pStyle w:val="ParaText"/>
      </w:pPr>
      <w:r w:rsidRPr="006248E3">
        <w:t>Task 4.4</w:t>
      </w:r>
      <w:r w:rsidRPr="006248E3">
        <w:tab/>
        <w:t xml:space="preserve">Gross and Net Analysis </w:t>
      </w:r>
    </w:p>
    <w:p w14:paraId="73374E14" w14:textId="77777777" w:rsidR="00CB23A8" w:rsidRDefault="006248E3" w:rsidP="006248E3">
      <w:pPr>
        <w:pStyle w:val="ParaText"/>
      </w:pPr>
      <w:r w:rsidRPr="006248E3">
        <w:t xml:space="preserve">The results of the calibrated simulation modeling will provide the inputs for developing gross realization rates that can be applied to the participant population to estimate ex post gross energy and demand savings.   </w:t>
      </w:r>
      <w:r w:rsidR="00CB23A8">
        <w:t>This task involves pulling together the various evaluation components and will result in program level:</w:t>
      </w:r>
    </w:p>
    <w:p w14:paraId="2BBB5279" w14:textId="77777777" w:rsidR="00CB23A8" w:rsidRDefault="00CB23A8" w:rsidP="00CB23A8">
      <w:pPr>
        <w:pStyle w:val="Bullet1"/>
      </w:pPr>
      <w:r>
        <w:t>Ex post NFR estimates</w:t>
      </w:r>
    </w:p>
    <w:p w14:paraId="4C57B383" w14:textId="77777777" w:rsidR="00CB23A8" w:rsidRDefault="00CB23A8" w:rsidP="00CB23A8">
      <w:pPr>
        <w:pStyle w:val="Bullet1"/>
      </w:pPr>
      <w:r>
        <w:t>Ex post gross savings values</w:t>
      </w:r>
      <w:r w:rsidR="009C16B4">
        <w:t xml:space="preserve"> (first year)</w:t>
      </w:r>
    </w:p>
    <w:p w14:paraId="5B8E9456" w14:textId="77777777" w:rsidR="009C16B4" w:rsidRDefault="009C16B4" w:rsidP="009C16B4">
      <w:pPr>
        <w:pStyle w:val="Bullet1"/>
      </w:pPr>
      <w:r>
        <w:t>Ex post net savings values (first year)</w:t>
      </w:r>
    </w:p>
    <w:p w14:paraId="07DD88BA" w14:textId="77777777" w:rsidR="009C16B4" w:rsidRDefault="009C16B4" w:rsidP="009C16B4">
      <w:pPr>
        <w:pStyle w:val="Bullet1"/>
      </w:pPr>
      <w:r>
        <w:t xml:space="preserve">Ex post gross realization rates </w:t>
      </w:r>
    </w:p>
    <w:p w14:paraId="58D3071C" w14:textId="77777777" w:rsidR="009C16B4" w:rsidRDefault="009C16B4" w:rsidP="009C16B4">
      <w:pPr>
        <w:pStyle w:val="Bullet1"/>
      </w:pPr>
      <w:r>
        <w:t>Ex post net realization rates</w:t>
      </w:r>
    </w:p>
    <w:p w14:paraId="32C49836" w14:textId="77777777" w:rsidR="00CB23A8" w:rsidRDefault="009C16B4" w:rsidP="00CB23A8">
      <w:pPr>
        <w:pStyle w:val="Bullet1"/>
      </w:pPr>
      <w:r>
        <w:t xml:space="preserve">Recommendations for program administrators to more closely align ex ante savings estimates to ex post values in future program cycles. </w:t>
      </w:r>
    </w:p>
    <w:p w14:paraId="3B101DB1" w14:textId="33FFC447" w:rsidR="009C16B4" w:rsidRPr="006248E3" w:rsidRDefault="009C16B4" w:rsidP="006248E3">
      <w:pPr>
        <w:pStyle w:val="ParaText"/>
      </w:pPr>
      <w:r>
        <w:t xml:space="preserve">Program level </w:t>
      </w:r>
      <w:r w:rsidR="00740274">
        <w:t>NF</w:t>
      </w:r>
      <w:r w:rsidR="006248E3" w:rsidRPr="006248E3">
        <w:t>R</w:t>
      </w:r>
      <w:r w:rsidR="00740274">
        <w:t xml:space="preserve"> estimate</w:t>
      </w:r>
      <w:r w:rsidR="006248E3" w:rsidRPr="006248E3">
        <w:t xml:space="preserve">s will be </w:t>
      </w:r>
      <w:r>
        <w:t>calculated</w:t>
      </w:r>
      <w:r w:rsidR="006248E3" w:rsidRPr="006248E3">
        <w:t xml:space="preserve"> based on the telephone survey results from Task </w:t>
      </w:r>
      <w:proofErr w:type="gramStart"/>
      <w:r w:rsidR="006248E3" w:rsidRPr="006248E3">
        <w:t>4.2,</w:t>
      </w:r>
      <w:proofErr w:type="gramEnd"/>
      <w:r w:rsidR="006248E3" w:rsidRPr="006248E3">
        <w:t xml:space="preserve"> and </w:t>
      </w:r>
      <w:r w:rsidR="00475BC9">
        <w:t xml:space="preserve">from those conducted during the </w:t>
      </w:r>
      <w:r w:rsidR="006248E3" w:rsidRPr="006248E3">
        <w:t>2</w:t>
      </w:r>
      <w:r w:rsidR="00740274">
        <w:t>013-</w:t>
      </w:r>
      <w:r w:rsidR="001A12E1">
        <w:t>20</w:t>
      </w:r>
      <w:r w:rsidR="00740274">
        <w:t xml:space="preserve">14 REN Impact Assessment. </w:t>
      </w:r>
      <w:r w:rsidR="006248E3" w:rsidRPr="006248E3">
        <w:t xml:space="preserve"> The NTGRs will be applied to the ex post gross savings values to estimate ex post net energy and demand savings.  </w:t>
      </w:r>
    </w:p>
    <w:p w14:paraId="744FF37A" w14:textId="77777777" w:rsidR="006248E3" w:rsidRPr="006248E3" w:rsidRDefault="006248E3" w:rsidP="006248E3">
      <w:pPr>
        <w:pStyle w:val="ParaText"/>
        <w:rPr>
          <w:i/>
          <w:u w:val="single"/>
        </w:rPr>
      </w:pPr>
      <w:r w:rsidRPr="00B34CEE">
        <w:rPr>
          <w:i/>
          <w:u w:val="single"/>
        </w:rPr>
        <w:lastRenderedPageBreak/>
        <w:t>Task 5 – Single Family Home Upgrade Program Impact Evaluation</w:t>
      </w:r>
    </w:p>
    <w:p w14:paraId="3A3C89E7" w14:textId="526FE925" w:rsidR="006248E3" w:rsidRPr="006248E3" w:rsidRDefault="006248E3" w:rsidP="006248E3">
      <w:pPr>
        <w:pStyle w:val="ParaText"/>
      </w:pPr>
      <w:r w:rsidRPr="006248E3">
        <w:t>This task will develop gross and net first year and lifecycle savings values for the BayREN and SoCalREN Single Family Home Upgrade Programs by applying NTGRs developed from the Single Family Whole Building Impact Evaluation study currently being managed by DNVGL, and applying gross savings results from the CPUC Focused Impact Evaluation of the 2013-</w:t>
      </w:r>
      <w:r w:rsidR="001A12E1">
        <w:t>20</w:t>
      </w:r>
      <w:r w:rsidRPr="006248E3">
        <w:t>14 Home Upgrade Program.</w:t>
      </w:r>
    </w:p>
    <w:p w14:paraId="3F83430D" w14:textId="77777777" w:rsidR="006248E3" w:rsidRPr="006248E3" w:rsidRDefault="006248E3" w:rsidP="006248E3">
      <w:pPr>
        <w:pStyle w:val="ParaText"/>
      </w:pPr>
      <w:r w:rsidRPr="006248E3">
        <w:t>The deliverable for this task will be a report chapter that is integrated into the overall report developed in Task 6 that summarizes the NTGR approach and results, the method for applying NTGRs and gross realization rates to develop ex post savings values, and presents the resulting first year and lifecycles ex post savings values for the BayREN and SoCalREN Single Family Home Upgrade Programs.</w:t>
      </w:r>
    </w:p>
    <w:p w14:paraId="29B02549" w14:textId="77777777" w:rsidR="006248E3" w:rsidRPr="006248E3" w:rsidRDefault="006248E3" w:rsidP="006248E3">
      <w:pPr>
        <w:pStyle w:val="ParaText"/>
      </w:pPr>
      <w:r w:rsidRPr="006248E3">
        <w:t>This task will also support the webinars discussed in Task 2, 3 and 6, regarding the research plan and draft report presentations.</w:t>
      </w:r>
    </w:p>
    <w:p w14:paraId="65933A02" w14:textId="77777777" w:rsidR="006248E3" w:rsidRPr="006248E3" w:rsidRDefault="006248E3" w:rsidP="006248E3">
      <w:pPr>
        <w:pStyle w:val="ParaText"/>
        <w:rPr>
          <w:i/>
          <w:u w:val="single"/>
        </w:rPr>
      </w:pPr>
      <w:r w:rsidRPr="006248E3">
        <w:rPr>
          <w:i/>
          <w:u w:val="single"/>
        </w:rPr>
        <w:t>Task 6 – Reporting and Comment Response</w:t>
      </w:r>
    </w:p>
    <w:p w14:paraId="5C254C6C" w14:textId="77777777" w:rsidR="006248E3" w:rsidRPr="006248E3" w:rsidRDefault="006248E3" w:rsidP="006248E3">
      <w:pPr>
        <w:pStyle w:val="ParaText"/>
      </w:pPr>
      <w:r w:rsidRPr="006248E3">
        <w:t xml:space="preserve">This task will involve the development of the draft and final reports, which would sections addressing a problem statement; description of prior work to date in this areas and precedent studies; approach to work, methodology, and stakeholder engagement campaign; and findings, conclusions and recommendations.  </w:t>
      </w:r>
    </w:p>
    <w:p w14:paraId="1DF1A214" w14:textId="77777777" w:rsidR="006248E3" w:rsidRPr="006248E3" w:rsidRDefault="006248E3" w:rsidP="006248E3">
      <w:pPr>
        <w:pStyle w:val="ParaText"/>
      </w:pPr>
      <w:r w:rsidRPr="006248E3">
        <w:t>The task would include fielding and addressing stakeholder comments on the draft project SOW along with those directed at the proposed study questions shared at the kick off webinar, fully responding to all public comments on the draft report, and assembling a Response to Recommendations (RTR) appendix.</w:t>
      </w:r>
    </w:p>
    <w:p w14:paraId="59E3A0BF" w14:textId="77777777" w:rsidR="006248E3" w:rsidRPr="006248E3" w:rsidRDefault="006248E3" w:rsidP="006248E3">
      <w:pPr>
        <w:pStyle w:val="ParaText"/>
      </w:pPr>
      <w:r w:rsidRPr="006248E3">
        <w:t xml:space="preserve">It is expected than an internal draft of the study report will be developed no later than May 1, 2017. Once the ED project manager approves an internal draft of the report, a draft report will be distributed to the StAG and PCG for review and comment during a two week comment period. </w:t>
      </w:r>
    </w:p>
    <w:p w14:paraId="0C9AA42B" w14:textId="77777777" w:rsidR="006248E3" w:rsidRPr="006248E3" w:rsidRDefault="006248E3" w:rsidP="006248E3">
      <w:pPr>
        <w:pStyle w:val="ParaText"/>
      </w:pPr>
      <w:r w:rsidRPr="006248E3">
        <w:t xml:space="preserve">As part of Task 2 above, during the draft report comment period, a public webinar will conducted by the </w:t>
      </w:r>
      <w:r w:rsidR="0004276E">
        <w:t>Evaluation</w:t>
      </w:r>
      <w:r w:rsidRPr="006248E3">
        <w:t xml:space="preserve"> Team to present the draft report, answer questions, and receive comments from the StAG and PCG. Upon close of the comment period, the </w:t>
      </w:r>
      <w:r w:rsidR="0004276E">
        <w:t>Evaluation</w:t>
      </w:r>
      <w:r w:rsidRPr="006248E3">
        <w:t xml:space="preserve"> Team will compile the public comments received in a matrix that will have draft responses prepared by the </w:t>
      </w:r>
      <w:r w:rsidR="0004276E">
        <w:t>Evaluation</w:t>
      </w:r>
      <w:r w:rsidRPr="006248E3">
        <w:t xml:space="preserve"> Team. The </w:t>
      </w:r>
      <w:r w:rsidR="0004276E">
        <w:t>Evaluation</w:t>
      </w:r>
      <w:r w:rsidRPr="006248E3">
        <w:t xml:space="preserve"> Team will provide ED staff and its agents an opportunity to improve and inform the responses. The completed matrix will then be posted to the web as appropriate for public sharing.</w:t>
      </w:r>
    </w:p>
    <w:p w14:paraId="2398C4DD" w14:textId="77777777" w:rsidR="006248E3" w:rsidRPr="006248E3" w:rsidRDefault="006248E3" w:rsidP="006248E3">
      <w:pPr>
        <w:pStyle w:val="ParaText"/>
      </w:pPr>
      <w:r w:rsidRPr="006248E3">
        <w:t xml:space="preserve">Following the webinar and response to comments process, the </w:t>
      </w:r>
      <w:r w:rsidR="0004276E">
        <w:t>Evaluation</w:t>
      </w:r>
      <w:r w:rsidRPr="006248E3">
        <w:t xml:space="preserve"> Team will fully revise the draft report to the extent necessary to appropriately res</w:t>
      </w:r>
      <w:r w:rsidR="00D337F7">
        <w:t xml:space="preserve">pond to ED and public comments. </w:t>
      </w:r>
      <w:r w:rsidRPr="006248E3">
        <w:t xml:space="preserve">This revised draft report will be distributed to ED staff and their advisors for review and approval. Once the revised draft </w:t>
      </w:r>
      <w:r w:rsidRPr="006248E3">
        <w:lastRenderedPageBreak/>
        <w:t>report is approved by the CPUC project manager, a final report will be posted to the Public Documents Area (PDA) of the CPUC website to be made available to the public.</w:t>
      </w:r>
      <w:r w:rsidRPr="006248E3" w:rsidDel="001A26A3">
        <w:t xml:space="preserve"> </w:t>
      </w:r>
    </w:p>
    <w:p w14:paraId="36C51173" w14:textId="77777777" w:rsidR="0060173C" w:rsidRDefault="0060173C" w:rsidP="0060173C">
      <w:pPr>
        <w:pStyle w:val="Heading2"/>
        <w:rPr>
          <w:noProof/>
        </w:rPr>
      </w:pPr>
      <w:bookmarkStart w:id="41" w:name="_Toc455072263"/>
      <w:bookmarkStart w:id="42" w:name="_Toc456174340"/>
      <w:r>
        <w:rPr>
          <w:noProof/>
        </w:rPr>
        <w:t>Budget</w:t>
      </w:r>
      <w:bookmarkEnd w:id="41"/>
      <w:bookmarkEnd w:id="42"/>
    </w:p>
    <w:p w14:paraId="413B4756" w14:textId="77777777" w:rsidR="0060173C" w:rsidRDefault="0060173C" w:rsidP="0060173C">
      <w:pPr>
        <w:pStyle w:val="ParaText"/>
      </w:pPr>
      <w:r>
        <w:t>The budget to complete the work outlined in this r</w:t>
      </w:r>
      <w:r w:rsidR="00C716D1">
        <w:t xml:space="preserve">esearch plan is provided below. The budget allocated for these tasks is not to exceed $215,000. </w:t>
      </w:r>
    </w:p>
    <w:p w14:paraId="1A2C90ED" w14:textId="679DB792" w:rsidR="00F014AA" w:rsidRPr="00F014AA" w:rsidRDefault="00F014AA" w:rsidP="00F014AA">
      <w:pPr>
        <w:pStyle w:val="ParaText"/>
        <w:jc w:val="center"/>
        <w:rPr>
          <w:b/>
        </w:rPr>
      </w:pPr>
      <w:r w:rsidRPr="007F1FDF">
        <w:rPr>
          <w:b/>
        </w:rPr>
        <w:t xml:space="preserve">Table </w:t>
      </w:r>
      <w:r w:rsidRPr="007F1FDF">
        <w:rPr>
          <w:b/>
        </w:rPr>
        <w:fldChar w:fldCharType="begin"/>
      </w:r>
      <w:r w:rsidRPr="007F1FDF">
        <w:rPr>
          <w:b/>
        </w:rPr>
        <w:instrText xml:space="preserve"> SEQ Table \* ALPHABETIC </w:instrText>
      </w:r>
      <w:r w:rsidRPr="007F1FDF">
        <w:rPr>
          <w:b/>
        </w:rPr>
        <w:fldChar w:fldCharType="separate"/>
      </w:r>
      <w:r w:rsidR="00A53E5B">
        <w:rPr>
          <w:b/>
          <w:noProof/>
        </w:rPr>
        <w:t>F</w:t>
      </w:r>
      <w:r w:rsidRPr="007F1FDF">
        <w:rPr>
          <w:b/>
        </w:rPr>
        <w:fldChar w:fldCharType="end"/>
      </w:r>
      <w:r>
        <w:rPr>
          <w:b/>
        </w:rPr>
        <w:t>. Evaluation Budget, By Task</w:t>
      </w:r>
    </w:p>
    <w:tbl>
      <w:tblPr>
        <w:tblW w:w="6315" w:type="dxa"/>
        <w:tblInd w:w="93" w:type="dxa"/>
        <w:tblLook w:val="04A0" w:firstRow="1" w:lastRow="0" w:firstColumn="1" w:lastColumn="0" w:noHBand="0" w:noVBand="1"/>
      </w:tblPr>
      <w:tblGrid>
        <w:gridCol w:w="4875"/>
        <w:gridCol w:w="1440"/>
      </w:tblGrid>
      <w:tr w:rsidR="00C716D1" w:rsidRPr="00C716D1" w14:paraId="4DD843F0" w14:textId="77777777" w:rsidTr="00616049">
        <w:trPr>
          <w:cantSplit/>
          <w:trHeight w:val="300"/>
        </w:trPr>
        <w:tc>
          <w:tcPr>
            <w:tcW w:w="4875" w:type="dxa"/>
            <w:vMerge w:val="restart"/>
            <w:tcBorders>
              <w:top w:val="single" w:sz="8" w:space="0" w:color="A6A6A6"/>
              <w:left w:val="single" w:sz="8" w:space="0" w:color="A6A6A6"/>
              <w:bottom w:val="single" w:sz="8" w:space="0" w:color="A6A6A6"/>
              <w:right w:val="nil"/>
            </w:tcBorders>
            <w:shd w:val="clear" w:color="000000" w:fill="3F9C35"/>
            <w:vAlign w:val="center"/>
            <w:hideMark/>
          </w:tcPr>
          <w:p w14:paraId="3AC0900A" w14:textId="77777777" w:rsidR="00C716D1" w:rsidRPr="00C716D1" w:rsidRDefault="00C716D1" w:rsidP="00C716D1">
            <w:pPr>
              <w:spacing w:line="240" w:lineRule="auto"/>
              <w:jc w:val="center"/>
              <w:rPr>
                <w:rFonts w:ascii="Verdana" w:hAnsi="Verdana"/>
                <w:b/>
                <w:bCs/>
                <w:color w:val="FFFFFF"/>
                <w:sz w:val="20"/>
                <w:szCs w:val="20"/>
              </w:rPr>
            </w:pPr>
            <w:r w:rsidRPr="00C716D1">
              <w:rPr>
                <w:rFonts w:ascii="Verdana" w:hAnsi="Verdana"/>
                <w:b/>
                <w:bCs/>
                <w:color w:val="FFFFFF"/>
                <w:sz w:val="20"/>
                <w:szCs w:val="20"/>
              </w:rPr>
              <w:t>Invoicing Task</w:t>
            </w:r>
          </w:p>
        </w:tc>
        <w:tc>
          <w:tcPr>
            <w:tcW w:w="1440" w:type="dxa"/>
            <w:vMerge w:val="restart"/>
            <w:tcBorders>
              <w:top w:val="single" w:sz="8" w:space="0" w:color="A6A6A6"/>
              <w:left w:val="single" w:sz="8" w:space="0" w:color="A6A6A6"/>
              <w:bottom w:val="single" w:sz="8" w:space="0" w:color="A6A6A6"/>
              <w:right w:val="nil"/>
            </w:tcBorders>
            <w:shd w:val="clear" w:color="000000" w:fill="3F9C35"/>
            <w:vAlign w:val="center"/>
            <w:hideMark/>
          </w:tcPr>
          <w:p w14:paraId="0862B577" w14:textId="77777777" w:rsidR="00C716D1" w:rsidRPr="00C716D1" w:rsidRDefault="00C716D1" w:rsidP="00C716D1">
            <w:pPr>
              <w:spacing w:line="240" w:lineRule="auto"/>
              <w:jc w:val="center"/>
              <w:rPr>
                <w:rFonts w:ascii="Verdana" w:hAnsi="Verdana"/>
                <w:b/>
                <w:bCs/>
                <w:color w:val="FFFFFF"/>
                <w:sz w:val="20"/>
                <w:szCs w:val="20"/>
              </w:rPr>
            </w:pPr>
            <w:r w:rsidRPr="00C716D1">
              <w:rPr>
                <w:rFonts w:ascii="Verdana" w:hAnsi="Verdana"/>
                <w:b/>
                <w:bCs/>
                <w:color w:val="FFFFFF"/>
                <w:sz w:val="20"/>
                <w:szCs w:val="20"/>
              </w:rPr>
              <w:t>Budget</w:t>
            </w:r>
          </w:p>
        </w:tc>
      </w:tr>
      <w:tr w:rsidR="00C716D1" w:rsidRPr="00C716D1" w14:paraId="1336F486" w14:textId="77777777" w:rsidTr="00616049">
        <w:trPr>
          <w:trHeight w:val="315"/>
        </w:trPr>
        <w:tc>
          <w:tcPr>
            <w:tcW w:w="4875" w:type="dxa"/>
            <w:vMerge/>
            <w:tcBorders>
              <w:top w:val="single" w:sz="8" w:space="0" w:color="A6A6A6"/>
              <w:left w:val="single" w:sz="8" w:space="0" w:color="A6A6A6"/>
              <w:bottom w:val="single" w:sz="8" w:space="0" w:color="A6A6A6"/>
              <w:right w:val="nil"/>
            </w:tcBorders>
            <w:vAlign w:val="center"/>
            <w:hideMark/>
          </w:tcPr>
          <w:p w14:paraId="7CB32061" w14:textId="77777777" w:rsidR="00C716D1" w:rsidRPr="00C716D1" w:rsidRDefault="00C716D1" w:rsidP="00C716D1">
            <w:pPr>
              <w:spacing w:line="240" w:lineRule="auto"/>
              <w:rPr>
                <w:rFonts w:ascii="Verdana" w:hAnsi="Verdana"/>
                <w:b/>
                <w:bCs/>
                <w:color w:val="FFFFFF"/>
                <w:sz w:val="20"/>
                <w:szCs w:val="20"/>
              </w:rPr>
            </w:pPr>
          </w:p>
        </w:tc>
        <w:tc>
          <w:tcPr>
            <w:tcW w:w="1440" w:type="dxa"/>
            <w:vMerge/>
            <w:tcBorders>
              <w:top w:val="single" w:sz="8" w:space="0" w:color="A6A6A6"/>
              <w:left w:val="single" w:sz="8" w:space="0" w:color="A6A6A6"/>
              <w:bottom w:val="single" w:sz="8" w:space="0" w:color="A6A6A6"/>
              <w:right w:val="nil"/>
            </w:tcBorders>
            <w:vAlign w:val="center"/>
            <w:hideMark/>
          </w:tcPr>
          <w:p w14:paraId="7EEE3367" w14:textId="77777777" w:rsidR="00C716D1" w:rsidRPr="00C716D1" w:rsidRDefault="00C716D1" w:rsidP="00C716D1">
            <w:pPr>
              <w:spacing w:line="240" w:lineRule="auto"/>
              <w:rPr>
                <w:rFonts w:ascii="Verdana" w:hAnsi="Verdana"/>
                <w:b/>
                <w:bCs/>
                <w:color w:val="FFFFFF"/>
                <w:sz w:val="20"/>
                <w:szCs w:val="20"/>
              </w:rPr>
            </w:pPr>
          </w:p>
        </w:tc>
      </w:tr>
      <w:tr w:rsidR="00C716D1" w:rsidRPr="00C716D1" w14:paraId="71E6E8EB" w14:textId="77777777" w:rsidTr="00616049">
        <w:trPr>
          <w:trHeight w:val="315"/>
        </w:trPr>
        <w:tc>
          <w:tcPr>
            <w:tcW w:w="487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E4F8721" w14:textId="77777777" w:rsidR="00C716D1" w:rsidRPr="00C716D1" w:rsidRDefault="00C716D1" w:rsidP="00C716D1">
            <w:pPr>
              <w:spacing w:line="240" w:lineRule="auto"/>
              <w:rPr>
                <w:color w:val="000000"/>
              </w:rPr>
            </w:pPr>
            <w:r w:rsidRPr="00C716D1">
              <w:rPr>
                <w:color w:val="000000"/>
              </w:rPr>
              <w:t>Task 1 – Project Management</w:t>
            </w:r>
          </w:p>
        </w:tc>
        <w:tc>
          <w:tcPr>
            <w:tcW w:w="1440" w:type="dxa"/>
            <w:tcBorders>
              <w:top w:val="single" w:sz="8" w:space="0" w:color="auto"/>
              <w:left w:val="nil"/>
              <w:bottom w:val="single" w:sz="8" w:space="0" w:color="auto"/>
              <w:right w:val="single" w:sz="8" w:space="0" w:color="auto"/>
            </w:tcBorders>
            <w:shd w:val="clear" w:color="auto" w:fill="auto"/>
            <w:noWrap/>
            <w:vAlign w:val="center"/>
            <w:hideMark/>
          </w:tcPr>
          <w:p w14:paraId="0BFFDDA6" w14:textId="77777777" w:rsidR="00C716D1" w:rsidRPr="00C716D1" w:rsidRDefault="00C716D1" w:rsidP="00C716D1">
            <w:pPr>
              <w:spacing w:line="240" w:lineRule="auto"/>
              <w:jc w:val="center"/>
              <w:rPr>
                <w:color w:val="000000"/>
              </w:rPr>
            </w:pPr>
            <w:r w:rsidRPr="00C716D1">
              <w:rPr>
                <w:color w:val="000000"/>
              </w:rPr>
              <w:t xml:space="preserve">$20,000 </w:t>
            </w:r>
          </w:p>
        </w:tc>
      </w:tr>
      <w:tr w:rsidR="00C716D1" w:rsidRPr="00C716D1" w14:paraId="5B4E8C5A" w14:textId="77777777" w:rsidTr="00616049">
        <w:trPr>
          <w:trHeight w:val="315"/>
        </w:trPr>
        <w:tc>
          <w:tcPr>
            <w:tcW w:w="4875" w:type="dxa"/>
            <w:tcBorders>
              <w:top w:val="nil"/>
              <w:left w:val="single" w:sz="8" w:space="0" w:color="auto"/>
              <w:bottom w:val="single" w:sz="8" w:space="0" w:color="auto"/>
              <w:right w:val="single" w:sz="8" w:space="0" w:color="auto"/>
            </w:tcBorders>
            <w:shd w:val="clear" w:color="auto" w:fill="auto"/>
            <w:noWrap/>
            <w:vAlign w:val="center"/>
            <w:hideMark/>
          </w:tcPr>
          <w:p w14:paraId="42826161" w14:textId="77777777" w:rsidR="00C716D1" w:rsidRPr="00C716D1" w:rsidRDefault="00C716D1" w:rsidP="00C716D1">
            <w:pPr>
              <w:spacing w:line="240" w:lineRule="auto"/>
              <w:rPr>
                <w:color w:val="000000"/>
              </w:rPr>
            </w:pPr>
            <w:r w:rsidRPr="00C716D1">
              <w:rPr>
                <w:color w:val="000000"/>
              </w:rPr>
              <w:t>Task 2 – Stakeholder Engagement</w:t>
            </w:r>
          </w:p>
        </w:tc>
        <w:tc>
          <w:tcPr>
            <w:tcW w:w="1440" w:type="dxa"/>
            <w:tcBorders>
              <w:top w:val="nil"/>
              <w:left w:val="nil"/>
              <w:bottom w:val="single" w:sz="8" w:space="0" w:color="auto"/>
              <w:right w:val="single" w:sz="8" w:space="0" w:color="auto"/>
            </w:tcBorders>
            <w:shd w:val="clear" w:color="auto" w:fill="auto"/>
            <w:noWrap/>
            <w:vAlign w:val="center"/>
            <w:hideMark/>
          </w:tcPr>
          <w:p w14:paraId="1EDE9032" w14:textId="77777777" w:rsidR="00C716D1" w:rsidRPr="00C716D1" w:rsidRDefault="00C716D1" w:rsidP="00C716D1">
            <w:pPr>
              <w:spacing w:line="240" w:lineRule="auto"/>
              <w:jc w:val="center"/>
              <w:rPr>
                <w:color w:val="000000"/>
              </w:rPr>
            </w:pPr>
            <w:r w:rsidRPr="00C716D1">
              <w:rPr>
                <w:color w:val="000000"/>
              </w:rPr>
              <w:t xml:space="preserve">$7,000 </w:t>
            </w:r>
          </w:p>
        </w:tc>
      </w:tr>
      <w:tr w:rsidR="00C716D1" w:rsidRPr="00C716D1" w14:paraId="55CAB0CC" w14:textId="77777777" w:rsidTr="00616049">
        <w:trPr>
          <w:trHeight w:val="315"/>
        </w:trPr>
        <w:tc>
          <w:tcPr>
            <w:tcW w:w="4875" w:type="dxa"/>
            <w:tcBorders>
              <w:top w:val="nil"/>
              <w:left w:val="single" w:sz="8" w:space="0" w:color="auto"/>
              <w:bottom w:val="single" w:sz="8" w:space="0" w:color="auto"/>
              <w:right w:val="single" w:sz="8" w:space="0" w:color="auto"/>
            </w:tcBorders>
            <w:shd w:val="clear" w:color="auto" w:fill="auto"/>
            <w:noWrap/>
            <w:vAlign w:val="center"/>
            <w:hideMark/>
          </w:tcPr>
          <w:p w14:paraId="6F6B4FC1" w14:textId="77777777" w:rsidR="00C716D1" w:rsidRPr="00C716D1" w:rsidRDefault="00C716D1" w:rsidP="00C716D1">
            <w:pPr>
              <w:spacing w:line="240" w:lineRule="auto"/>
              <w:rPr>
                <w:color w:val="000000"/>
              </w:rPr>
            </w:pPr>
            <w:r w:rsidRPr="00C716D1">
              <w:rPr>
                <w:color w:val="000000"/>
              </w:rPr>
              <w:t>Task 3 – Research Plan</w:t>
            </w:r>
          </w:p>
        </w:tc>
        <w:tc>
          <w:tcPr>
            <w:tcW w:w="1440" w:type="dxa"/>
            <w:tcBorders>
              <w:top w:val="nil"/>
              <w:left w:val="nil"/>
              <w:bottom w:val="single" w:sz="8" w:space="0" w:color="auto"/>
              <w:right w:val="single" w:sz="8" w:space="0" w:color="auto"/>
            </w:tcBorders>
            <w:shd w:val="clear" w:color="auto" w:fill="auto"/>
            <w:noWrap/>
            <w:vAlign w:val="center"/>
            <w:hideMark/>
          </w:tcPr>
          <w:p w14:paraId="02DF9102" w14:textId="77777777" w:rsidR="00C716D1" w:rsidRPr="00C716D1" w:rsidRDefault="00C716D1" w:rsidP="00C716D1">
            <w:pPr>
              <w:spacing w:line="240" w:lineRule="auto"/>
              <w:jc w:val="center"/>
              <w:rPr>
                <w:color w:val="000000"/>
              </w:rPr>
            </w:pPr>
            <w:r w:rsidRPr="00C716D1">
              <w:rPr>
                <w:color w:val="000000"/>
              </w:rPr>
              <w:t xml:space="preserve">$15,000 </w:t>
            </w:r>
          </w:p>
        </w:tc>
      </w:tr>
      <w:tr w:rsidR="00C716D1" w:rsidRPr="00C716D1" w14:paraId="2E10BFA6" w14:textId="77777777" w:rsidTr="00616049">
        <w:trPr>
          <w:trHeight w:val="315"/>
        </w:trPr>
        <w:tc>
          <w:tcPr>
            <w:tcW w:w="4875" w:type="dxa"/>
            <w:tcBorders>
              <w:top w:val="nil"/>
              <w:left w:val="single" w:sz="8" w:space="0" w:color="auto"/>
              <w:bottom w:val="single" w:sz="8" w:space="0" w:color="auto"/>
              <w:right w:val="single" w:sz="8" w:space="0" w:color="auto"/>
            </w:tcBorders>
            <w:shd w:val="clear" w:color="auto" w:fill="auto"/>
            <w:noWrap/>
            <w:vAlign w:val="center"/>
            <w:hideMark/>
          </w:tcPr>
          <w:p w14:paraId="5BED6F5B" w14:textId="77777777" w:rsidR="00C716D1" w:rsidRPr="00C716D1" w:rsidRDefault="00C716D1" w:rsidP="00C716D1">
            <w:pPr>
              <w:spacing w:line="240" w:lineRule="auto"/>
              <w:rPr>
                <w:color w:val="000000"/>
              </w:rPr>
            </w:pPr>
            <w:r w:rsidRPr="00C716D1">
              <w:rPr>
                <w:color w:val="000000"/>
              </w:rPr>
              <w:t>Task 4 – MF Whole Building Impact Evaluation</w:t>
            </w:r>
          </w:p>
        </w:tc>
        <w:tc>
          <w:tcPr>
            <w:tcW w:w="1440" w:type="dxa"/>
            <w:tcBorders>
              <w:top w:val="nil"/>
              <w:left w:val="nil"/>
              <w:bottom w:val="single" w:sz="8" w:space="0" w:color="auto"/>
              <w:right w:val="single" w:sz="8" w:space="0" w:color="auto"/>
            </w:tcBorders>
            <w:shd w:val="clear" w:color="auto" w:fill="auto"/>
            <w:noWrap/>
            <w:vAlign w:val="bottom"/>
            <w:hideMark/>
          </w:tcPr>
          <w:p w14:paraId="3ED5E075" w14:textId="77777777" w:rsidR="00C716D1" w:rsidRPr="00C716D1" w:rsidRDefault="00C716D1" w:rsidP="00C716D1">
            <w:pPr>
              <w:spacing w:line="240" w:lineRule="auto"/>
              <w:rPr>
                <w:rFonts w:ascii="Times New Roman" w:hAnsi="Times New Roman"/>
                <w:color w:val="000000"/>
              </w:rPr>
            </w:pPr>
            <w:r w:rsidRPr="00C716D1">
              <w:rPr>
                <w:rFonts w:ascii="Times New Roman" w:hAnsi="Times New Roman"/>
                <w:color w:val="000000"/>
              </w:rPr>
              <w:t> </w:t>
            </w:r>
          </w:p>
        </w:tc>
      </w:tr>
      <w:tr w:rsidR="00C716D1" w:rsidRPr="00C716D1" w14:paraId="2C228005" w14:textId="77777777" w:rsidTr="00616049">
        <w:trPr>
          <w:trHeight w:val="315"/>
        </w:trPr>
        <w:tc>
          <w:tcPr>
            <w:tcW w:w="4875" w:type="dxa"/>
            <w:tcBorders>
              <w:top w:val="nil"/>
              <w:left w:val="single" w:sz="8" w:space="0" w:color="auto"/>
              <w:bottom w:val="single" w:sz="8" w:space="0" w:color="auto"/>
              <w:right w:val="single" w:sz="8" w:space="0" w:color="auto"/>
            </w:tcBorders>
            <w:shd w:val="clear" w:color="auto" w:fill="auto"/>
            <w:noWrap/>
            <w:vAlign w:val="center"/>
            <w:hideMark/>
          </w:tcPr>
          <w:p w14:paraId="5395004C" w14:textId="77777777" w:rsidR="00C716D1" w:rsidRPr="00C716D1" w:rsidRDefault="00C716D1" w:rsidP="00C716D1">
            <w:pPr>
              <w:spacing w:line="240" w:lineRule="auto"/>
              <w:rPr>
                <w:color w:val="000000"/>
              </w:rPr>
            </w:pPr>
            <w:r w:rsidRPr="00C716D1">
              <w:rPr>
                <w:color w:val="000000"/>
              </w:rPr>
              <w:t xml:space="preserve">   Task 4.1 – Instrument and Sample Development</w:t>
            </w:r>
          </w:p>
        </w:tc>
        <w:tc>
          <w:tcPr>
            <w:tcW w:w="1440" w:type="dxa"/>
            <w:tcBorders>
              <w:top w:val="nil"/>
              <w:left w:val="nil"/>
              <w:bottom w:val="single" w:sz="8" w:space="0" w:color="auto"/>
              <w:right w:val="single" w:sz="8" w:space="0" w:color="auto"/>
            </w:tcBorders>
            <w:shd w:val="clear" w:color="auto" w:fill="auto"/>
            <w:noWrap/>
            <w:vAlign w:val="center"/>
            <w:hideMark/>
          </w:tcPr>
          <w:p w14:paraId="163937E8" w14:textId="77777777" w:rsidR="00C716D1" w:rsidRPr="00C716D1" w:rsidRDefault="00C716D1" w:rsidP="00C716D1">
            <w:pPr>
              <w:spacing w:line="240" w:lineRule="auto"/>
              <w:jc w:val="center"/>
              <w:rPr>
                <w:color w:val="000000"/>
              </w:rPr>
            </w:pPr>
            <w:r w:rsidRPr="00C716D1">
              <w:rPr>
                <w:color w:val="000000"/>
              </w:rPr>
              <w:t xml:space="preserve">$8,000 </w:t>
            </w:r>
          </w:p>
        </w:tc>
      </w:tr>
      <w:tr w:rsidR="00C716D1" w:rsidRPr="00C716D1" w14:paraId="122A7D48" w14:textId="77777777" w:rsidTr="00616049">
        <w:trPr>
          <w:trHeight w:val="315"/>
        </w:trPr>
        <w:tc>
          <w:tcPr>
            <w:tcW w:w="4875" w:type="dxa"/>
            <w:tcBorders>
              <w:top w:val="nil"/>
              <w:left w:val="single" w:sz="8" w:space="0" w:color="auto"/>
              <w:bottom w:val="single" w:sz="8" w:space="0" w:color="auto"/>
              <w:right w:val="single" w:sz="8" w:space="0" w:color="auto"/>
            </w:tcBorders>
            <w:shd w:val="clear" w:color="auto" w:fill="auto"/>
            <w:noWrap/>
            <w:vAlign w:val="center"/>
            <w:hideMark/>
          </w:tcPr>
          <w:p w14:paraId="42961742" w14:textId="77777777" w:rsidR="00C716D1" w:rsidRPr="00C716D1" w:rsidRDefault="00C716D1" w:rsidP="00C716D1">
            <w:pPr>
              <w:spacing w:line="240" w:lineRule="auto"/>
              <w:rPr>
                <w:color w:val="000000"/>
              </w:rPr>
            </w:pPr>
            <w:r w:rsidRPr="00C716D1">
              <w:rPr>
                <w:color w:val="000000"/>
              </w:rPr>
              <w:t xml:space="preserve">   Task 4.2 – Data Collection</w:t>
            </w:r>
          </w:p>
        </w:tc>
        <w:tc>
          <w:tcPr>
            <w:tcW w:w="1440" w:type="dxa"/>
            <w:tcBorders>
              <w:top w:val="nil"/>
              <w:left w:val="nil"/>
              <w:bottom w:val="single" w:sz="8" w:space="0" w:color="auto"/>
              <w:right w:val="single" w:sz="8" w:space="0" w:color="auto"/>
            </w:tcBorders>
            <w:shd w:val="clear" w:color="auto" w:fill="auto"/>
            <w:noWrap/>
            <w:vAlign w:val="center"/>
            <w:hideMark/>
          </w:tcPr>
          <w:p w14:paraId="130717D8" w14:textId="77777777" w:rsidR="00C716D1" w:rsidRPr="00C716D1" w:rsidRDefault="00C716D1" w:rsidP="00C716D1">
            <w:pPr>
              <w:spacing w:line="240" w:lineRule="auto"/>
              <w:jc w:val="center"/>
              <w:rPr>
                <w:color w:val="000000"/>
              </w:rPr>
            </w:pPr>
            <w:r w:rsidRPr="00C716D1">
              <w:rPr>
                <w:color w:val="000000"/>
              </w:rPr>
              <w:t xml:space="preserve">$72,500 </w:t>
            </w:r>
          </w:p>
        </w:tc>
      </w:tr>
      <w:tr w:rsidR="00C716D1" w:rsidRPr="00C716D1" w14:paraId="4890B888" w14:textId="77777777" w:rsidTr="00616049">
        <w:trPr>
          <w:trHeight w:val="315"/>
        </w:trPr>
        <w:tc>
          <w:tcPr>
            <w:tcW w:w="4875" w:type="dxa"/>
            <w:tcBorders>
              <w:top w:val="nil"/>
              <w:left w:val="single" w:sz="8" w:space="0" w:color="auto"/>
              <w:bottom w:val="single" w:sz="8" w:space="0" w:color="auto"/>
              <w:right w:val="single" w:sz="8" w:space="0" w:color="auto"/>
            </w:tcBorders>
            <w:shd w:val="clear" w:color="auto" w:fill="auto"/>
            <w:noWrap/>
            <w:vAlign w:val="center"/>
            <w:hideMark/>
          </w:tcPr>
          <w:p w14:paraId="0314F566" w14:textId="77777777" w:rsidR="00C716D1" w:rsidRPr="00C716D1" w:rsidRDefault="00C716D1" w:rsidP="00C716D1">
            <w:pPr>
              <w:spacing w:line="240" w:lineRule="auto"/>
              <w:rPr>
                <w:color w:val="000000"/>
              </w:rPr>
            </w:pPr>
            <w:r w:rsidRPr="00C716D1">
              <w:rPr>
                <w:color w:val="000000"/>
              </w:rPr>
              <w:t xml:space="preserve">   Task 4.3 – Calibrated Simulation Modeling</w:t>
            </w:r>
          </w:p>
        </w:tc>
        <w:tc>
          <w:tcPr>
            <w:tcW w:w="1440" w:type="dxa"/>
            <w:tcBorders>
              <w:top w:val="nil"/>
              <w:left w:val="nil"/>
              <w:bottom w:val="single" w:sz="8" w:space="0" w:color="auto"/>
              <w:right w:val="single" w:sz="8" w:space="0" w:color="auto"/>
            </w:tcBorders>
            <w:shd w:val="clear" w:color="auto" w:fill="auto"/>
            <w:noWrap/>
            <w:vAlign w:val="center"/>
            <w:hideMark/>
          </w:tcPr>
          <w:p w14:paraId="5616ED0C" w14:textId="77777777" w:rsidR="00C716D1" w:rsidRPr="00C716D1" w:rsidRDefault="00C716D1" w:rsidP="00C716D1">
            <w:pPr>
              <w:spacing w:line="240" w:lineRule="auto"/>
              <w:jc w:val="center"/>
              <w:rPr>
                <w:color w:val="000000"/>
              </w:rPr>
            </w:pPr>
            <w:r w:rsidRPr="00C716D1">
              <w:rPr>
                <w:color w:val="000000"/>
              </w:rPr>
              <w:t xml:space="preserve">$40,000 </w:t>
            </w:r>
          </w:p>
        </w:tc>
      </w:tr>
      <w:tr w:rsidR="00C716D1" w:rsidRPr="00C716D1" w14:paraId="6A52EA0E" w14:textId="77777777" w:rsidTr="00616049">
        <w:trPr>
          <w:trHeight w:val="315"/>
        </w:trPr>
        <w:tc>
          <w:tcPr>
            <w:tcW w:w="4875" w:type="dxa"/>
            <w:tcBorders>
              <w:top w:val="nil"/>
              <w:left w:val="single" w:sz="8" w:space="0" w:color="auto"/>
              <w:bottom w:val="single" w:sz="8" w:space="0" w:color="auto"/>
              <w:right w:val="single" w:sz="8" w:space="0" w:color="auto"/>
            </w:tcBorders>
            <w:shd w:val="clear" w:color="auto" w:fill="auto"/>
            <w:noWrap/>
            <w:vAlign w:val="center"/>
            <w:hideMark/>
          </w:tcPr>
          <w:p w14:paraId="73041BB6" w14:textId="77777777" w:rsidR="00C716D1" w:rsidRPr="00C716D1" w:rsidRDefault="00C716D1" w:rsidP="00C716D1">
            <w:pPr>
              <w:spacing w:line="240" w:lineRule="auto"/>
              <w:rPr>
                <w:color w:val="000000"/>
              </w:rPr>
            </w:pPr>
            <w:r w:rsidRPr="00C716D1">
              <w:rPr>
                <w:color w:val="000000"/>
              </w:rPr>
              <w:t xml:space="preserve">   Task 4.4 - Analysis</w:t>
            </w:r>
          </w:p>
        </w:tc>
        <w:tc>
          <w:tcPr>
            <w:tcW w:w="1440" w:type="dxa"/>
            <w:tcBorders>
              <w:top w:val="nil"/>
              <w:left w:val="nil"/>
              <w:bottom w:val="single" w:sz="8" w:space="0" w:color="auto"/>
              <w:right w:val="single" w:sz="8" w:space="0" w:color="auto"/>
            </w:tcBorders>
            <w:shd w:val="clear" w:color="auto" w:fill="auto"/>
            <w:noWrap/>
            <w:vAlign w:val="center"/>
            <w:hideMark/>
          </w:tcPr>
          <w:p w14:paraId="7FA7FAF1" w14:textId="77777777" w:rsidR="00C716D1" w:rsidRPr="00C716D1" w:rsidRDefault="00C716D1" w:rsidP="00C716D1">
            <w:pPr>
              <w:spacing w:line="240" w:lineRule="auto"/>
              <w:jc w:val="center"/>
              <w:rPr>
                <w:color w:val="000000"/>
              </w:rPr>
            </w:pPr>
            <w:r w:rsidRPr="00C716D1">
              <w:rPr>
                <w:color w:val="000000"/>
              </w:rPr>
              <w:t xml:space="preserve">$20,000 </w:t>
            </w:r>
          </w:p>
        </w:tc>
      </w:tr>
      <w:tr w:rsidR="00C716D1" w:rsidRPr="00C716D1" w14:paraId="50CC4CD9" w14:textId="77777777" w:rsidTr="00616049">
        <w:trPr>
          <w:trHeight w:val="315"/>
        </w:trPr>
        <w:tc>
          <w:tcPr>
            <w:tcW w:w="4875" w:type="dxa"/>
            <w:tcBorders>
              <w:top w:val="nil"/>
              <w:left w:val="single" w:sz="8" w:space="0" w:color="auto"/>
              <w:bottom w:val="single" w:sz="8" w:space="0" w:color="auto"/>
              <w:right w:val="single" w:sz="8" w:space="0" w:color="auto"/>
            </w:tcBorders>
            <w:shd w:val="clear" w:color="auto" w:fill="auto"/>
            <w:noWrap/>
            <w:vAlign w:val="center"/>
            <w:hideMark/>
          </w:tcPr>
          <w:p w14:paraId="09EA1AB1" w14:textId="77777777" w:rsidR="00C716D1" w:rsidRPr="00C716D1" w:rsidRDefault="00C716D1" w:rsidP="00C716D1">
            <w:pPr>
              <w:spacing w:line="240" w:lineRule="auto"/>
              <w:rPr>
                <w:color w:val="000000"/>
              </w:rPr>
            </w:pPr>
            <w:r w:rsidRPr="00C716D1">
              <w:rPr>
                <w:color w:val="000000"/>
              </w:rPr>
              <w:t>Task 5 – SF Home Upgrade Impact Evaluation</w:t>
            </w:r>
          </w:p>
        </w:tc>
        <w:tc>
          <w:tcPr>
            <w:tcW w:w="1440" w:type="dxa"/>
            <w:tcBorders>
              <w:top w:val="nil"/>
              <w:left w:val="nil"/>
              <w:bottom w:val="single" w:sz="8" w:space="0" w:color="auto"/>
              <w:right w:val="single" w:sz="8" w:space="0" w:color="auto"/>
            </w:tcBorders>
            <w:shd w:val="clear" w:color="auto" w:fill="auto"/>
            <w:noWrap/>
            <w:vAlign w:val="center"/>
            <w:hideMark/>
          </w:tcPr>
          <w:p w14:paraId="750EB896" w14:textId="77777777" w:rsidR="00C716D1" w:rsidRPr="00C716D1" w:rsidRDefault="00C716D1" w:rsidP="00C716D1">
            <w:pPr>
              <w:spacing w:line="240" w:lineRule="auto"/>
              <w:jc w:val="center"/>
              <w:rPr>
                <w:color w:val="000000"/>
              </w:rPr>
            </w:pPr>
            <w:r w:rsidRPr="00C716D1">
              <w:rPr>
                <w:color w:val="000000"/>
              </w:rPr>
              <w:t xml:space="preserve">$10,000 </w:t>
            </w:r>
          </w:p>
        </w:tc>
      </w:tr>
      <w:tr w:rsidR="00C716D1" w:rsidRPr="00C716D1" w14:paraId="7881E326" w14:textId="77777777" w:rsidTr="00616049">
        <w:trPr>
          <w:trHeight w:val="315"/>
        </w:trPr>
        <w:tc>
          <w:tcPr>
            <w:tcW w:w="4875" w:type="dxa"/>
            <w:tcBorders>
              <w:top w:val="nil"/>
              <w:left w:val="single" w:sz="8" w:space="0" w:color="auto"/>
              <w:bottom w:val="single" w:sz="8" w:space="0" w:color="auto"/>
              <w:right w:val="single" w:sz="8" w:space="0" w:color="auto"/>
            </w:tcBorders>
            <w:shd w:val="clear" w:color="auto" w:fill="auto"/>
            <w:noWrap/>
            <w:vAlign w:val="center"/>
            <w:hideMark/>
          </w:tcPr>
          <w:p w14:paraId="48AD127F" w14:textId="77777777" w:rsidR="00C716D1" w:rsidRPr="00C716D1" w:rsidRDefault="00C716D1" w:rsidP="00C716D1">
            <w:pPr>
              <w:spacing w:line="240" w:lineRule="auto"/>
              <w:rPr>
                <w:color w:val="000000"/>
              </w:rPr>
            </w:pPr>
            <w:r w:rsidRPr="00C716D1">
              <w:rPr>
                <w:color w:val="000000"/>
              </w:rPr>
              <w:t>Task 6 – Reporting and Comment Response</w:t>
            </w:r>
          </w:p>
        </w:tc>
        <w:tc>
          <w:tcPr>
            <w:tcW w:w="1440" w:type="dxa"/>
            <w:tcBorders>
              <w:top w:val="nil"/>
              <w:left w:val="nil"/>
              <w:bottom w:val="single" w:sz="8" w:space="0" w:color="auto"/>
              <w:right w:val="single" w:sz="8" w:space="0" w:color="auto"/>
            </w:tcBorders>
            <w:shd w:val="clear" w:color="auto" w:fill="auto"/>
            <w:noWrap/>
            <w:vAlign w:val="center"/>
            <w:hideMark/>
          </w:tcPr>
          <w:p w14:paraId="32AB8108" w14:textId="77777777" w:rsidR="00C716D1" w:rsidRPr="00C716D1" w:rsidRDefault="00C716D1" w:rsidP="00C716D1">
            <w:pPr>
              <w:spacing w:line="240" w:lineRule="auto"/>
              <w:jc w:val="center"/>
              <w:rPr>
                <w:color w:val="000000"/>
              </w:rPr>
            </w:pPr>
            <w:r w:rsidRPr="00C716D1">
              <w:rPr>
                <w:color w:val="000000"/>
              </w:rPr>
              <w:t xml:space="preserve">$22,500 </w:t>
            </w:r>
          </w:p>
        </w:tc>
      </w:tr>
      <w:tr w:rsidR="00C716D1" w:rsidRPr="00C716D1" w14:paraId="298B323B" w14:textId="77777777" w:rsidTr="00616049">
        <w:trPr>
          <w:trHeight w:val="315"/>
        </w:trPr>
        <w:tc>
          <w:tcPr>
            <w:tcW w:w="4875" w:type="dxa"/>
            <w:tcBorders>
              <w:top w:val="nil"/>
              <w:left w:val="single" w:sz="8" w:space="0" w:color="auto"/>
              <w:bottom w:val="single" w:sz="8" w:space="0" w:color="auto"/>
              <w:right w:val="single" w:sz="8" w:space="0" w:color="auto"/>
            </w:tcBorders>
            <w:shd w:val="clear" w:color="auto" w:fill="auto"/>
            <w:noWrap/>
            <w:vAlign w:val="center"/>
            <w:hideMark/>
          </w:tcPr>
          <w:p w14:paraId="29F42171" w14:textId="77777777" w:rsidR="00C716D1" w:rsidRPr="00C716D1" w:rsidRDefault="00C716D1" w:rsidP="00616049">
            <w:pPr>
              <w:spacing w:line="240" w:lineRule="auto"/>
              <w:jc w:val="right"/>
              <w:rPr>
                <w:color w:val="000000"/>
              </w:rPr>
            </w:pPr>
            <w:r w:rsidRPr="00C716D1">
              <w:rPr>
                <w:color w:val="000000"/>
              </w:rPr>
              <w:t>Total</w:t>
            </w:r>
          </w:p>
        </w:tc>
        <w:tc>
          <w:tcPr>
            <w:tcW w:w="1440" w:type="dxa"/>
            <w:tcBorders>
              <w:top w:val="nil"/>
              <w:left w:val="nil"/>
              <w:bottom w:val="single" w:sz="8" w:space="0" w:color="auto"/>
              <w:right w:val="single" w:sz="8" w:space="0" w:color="auto"/>
            </w:tcBorders>
            <w:shd w:val="clear" w:color="auto" w:fill="auto"/>
            <w:noWrap/>
            <w:vAlign w:val="center"/>
            <w:hideMark/>
          </w:tcPr>
          <w:p w14:paraId="15B3B09D" w14:textId="77777777" w:rsidR="00C716D1" w:rsidRPr="00C716D1" w:rsidRDefault="00C716D1" w:rsidP="00C716D1">
            <w:pPr>
              <w:spacing w:line="240" w:lineRule="auto"/>
              <w:jc w:val="center"/>
              <w:rPr>
                <w:color w:val="000000"/>
              </w:rPr>
            </w:pPr>
            <w:r w:rsidRPr="00C716D1">
              <w:rPr>
                <w:color w:val="000000"/>
              </w:rPr>
              <w:t xml:space="preserve">$215,000 </w:t>
            </w:r>
          </w:p>
        </w:tc>
      </w:tr>
    </w:tbl>
    <w:p w14:paraId="7F2DF72F" w14:textId="77777777" w:rsidR="0073092C" w:rsidRDefault="0073092C" w:rsidP="00C716D1">
      <w:pPr>
        <w:pStyle w:val="Heading2"/>
        <w:sectPr w:rsidR="0073092C" w:rsidSect="007A56C3">
          <w:headerReference w:type="default" r:id="rId19"/>
          <w:footerReference w:type="default" r:id="rId20"/>
          <w:pgSz w:w="12240" w:h="15840" w:code="1"/>
          <w:pgMar w:top="1440" w:right="1440" w:bottom="1440" w:left="1440" w:header="720" w:footer="720" w:gutter="0"/>
          <w:pgNumType w:start="1" w:chapStyle="7"/>
          <w:cols w:space="720"/>
          <w:docGrid w:linePitch="299"/>
        </w:sectPr>
      </w:pPr>
      <w:bookmarkStart w:id="43" w:name="_Toc455072264"/>
    </w:p>
    <w:p w14:paraId="5C12C7F1" w14:textId="3D72FBAD" w:rsidR="00C716D1" w:rsidRPr="0060173C" w:rsidRDefault="00C716D1" w:rsidP="00C716D1">
      <w:pPr>
        <w:pStyle w:val="Heading2"/>
      </w:pPr>
      <w:bookmarkStart w:id="44" w:name="_Toc456174341"/>
      <w:r>
        <w:lastRenderedPageBreak/>
        <w:t>Timeline</w:t>
      </w:r>
      <w:bookmarkEnd w:id="43"/>
      <w:bookmarkEnd w:id="44"/>
    </w:p>
    <w:p w14:paraId="578D3F77" w14:textId="32075E9F" w:rsidR="00C716D1" w:rsidRPr="002333FE" w:rsidRDefault="002333FE" w:rsidP="0036326D">
      <w:pPr>
        <w:pStyle w:val="ParaText"/>
        <w:keepNext/>
        <w:keepLines/>
        <w:jc w:val="center"/>
        <w:rPr>
          <w:b/>
          <w:lang w:val="en-GB"/>
        </w:rPr>
      </w:pPr>
      <w:r>
        <w:rPr>
          <w:b/>
        </w:rPr>
        <w:t>Figure B</w:t>
      </w:r>
      <w:r w:rsidR="00F014AA">
        <w:rPr>
          <w:b/>
        </w:rPr>
        <w:t xml:space="preserve">. </w:t>
      </w:r>
      <w:r w:rsidRPr="002333FE">
        <w:rPr>
          <w:b/>
          <w:lang w:val="en-GB"/>
        </w:rPr>
        <w:t xml:space="preserve">2013-2015 </w:t>
      </w:r>
      <w:r>
        <w:rPr>
          <w:b/>
          <w:lang w:val="en-GB"/>
        </w:rPr>
        <w:t xml:space="preserve">REN </w:t>
      </w:r>
      <w:r w:rsidRPr="002333FE">
        <w:rPr>
          <w:b/>
          <w:lang w:val="en-GB"/>
        </w:rPr>
        <w:t xml:space="preserve">Impact Evaluation </w:t>
      </w:r>
      <w:r w:rsidR="00F014AA">
        <w:rPr>
          <w:b/>
        </w:rPr>
        <w:t>Timeline, By Milestone</w:t>
      </w:r>
    </w:p>
    <w:p w14:paraId="7516FA34" w14:textId="3C0CD513" w:rsidR="00441F2D" w:rsidRDefault="00C01813" w:rsidP="00B77BAA">
      <w:pPr>
        <w:pStyle w:val="ParaText"/>
        <w:ind w:right="1440"/>
        <w:rPr>
          <w:rFonts w:ascii="Verdana" w:hAnsi="Verdana" w:cs="Arial"/>
          <w:color w:val="404040" w:themeColor="text1" w:themeTint="BF"/>
          <w:w w:val="95"/>
          <w:sz w:val="20"/>
          <w:szCs w:val="20"/>
        </w:rPr>
      </w:pPr>
      <w:r>
        <w:rPr>
          <w:rFonts w:ascii="Verdana" w:hAnsi="Verdana" w:cs="Arial"/>
          <w:noProof/>
          <w:color w:val="404040" w:themeColor="text1" w:themeTint="BF"/>
          <w:w w:val="95"/>
          <w:sz w:val="20"/>
          <w:szCs w:val="20"/>
        </w:rPr>
        <w:drawing>
          <wp:inline distT="0" distB="0" distL="0" distR="0" wp14:anchorId="5356FD90" wp14:editId="5BAA524A">
            <wp:extent cx="8229600" cy="2869565"/>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NS timeline - public.PNG"/>
                    <pic:cNvPicPr/>
                  </pic:nvPicPr>
                  <pic:blipFill>
                    <a:blip r:embed="rId21">
                      <a:extLst>
                        <a:ext uri="{28A0092B-C50C-407E-A947-70E740481C1C}">
                          <a14:useLocalDpi xmlns:a14="http://schemas.microsoft.com/office/drawing/2010/main" val="0"/>
                        </a:ext>
                      </a:extLst>
                    </a:blip>
                    <a:stretch>
                      <a:fillRect/>
                    </a:stretch>
                  </pic:blipFill>
                  <pic:spPr>
                    <a:xfrm>
                      <a:off x="0" y="0"/>
                      <a:ext cx="8229600" cy="2869565"/>
                    </a:xfrm>
                    <a:prstGeom prst="rect">
                      <a:avLst/>
                    </a:prstGeom>
                  </pic:spPr>
                </pic:pic>
              </a:graphicData>
            </a:graphic>
          </wp:inline>
        </w:drawing>
      </w:r>
    </w:p>
    <w:p w14:paraId="0F492745" w14:textId="1E8095C5" w:rsidR="00043E73" w:rsidRDefault="00441F2D" w:rsidP="00043E73">
      <w:pPr>
        <w:pStyle w:val="Heading2"/>
        <w:rPr>
          <w:rFonts w:ascii="Verdana" w:hAnsi="Verdana" w:cs="Arial"/>
          <w:color w:val="404040" w:themeColor="text1" w:themeTint="BF"/>
          <w:w w:val="95"/>
          <w:sz w:val="20"/>
          <w:szCs w:val="20"/>
        </w:rPr>
        <w:sectPr w:rsidR="00043E73" w:rsidSect="00043E73">
          <w:pgSz w:w="15840" w:h="12240" w:orient="landscape" w:code="1"/>
          <w:pgMar w:top="1440" w:right="1440" w:bottom="1440" w:left="1440" w:header="720" w:footer="720" w:gutter="0"/>
          <w:pgNumType w:chapStyle="7"/>
          <w:cols w:space="720"/>
          <w:docGrid w:linePitch="299"/>
        </w:sectPr>
      </w:pPr>
      <w:r>
        <w:rPr>
          <w:rFonts w:ascii="Verdana" w:hAnsi="Verdana" w:cs="Arial"/>
          <w:color w:val="404040" w:themeColor="text1" w:themeTint="BF"/>
          <w:w w:val="95"/>
          <w:sz w:val="20"/>
          <w:szCs w:val="20"/>
        </w:rPr>
        <w:br w:type="page"/>
      </w:r>
    </w:p>
    <w:p w14:paraId="3DD1D3CB" w14:textId="1E8095C5" w:rsidR="00262A50" w:rsidRDefault="00441F2D" w:rsidP="00043E73">
      <w:pPr>
        <w:pStyle w:val="Heading2"/>
        <w:rPr>
          <w:w w:val="95"/>
        </w:rPr>
      </w:pPr>
      <w:bookmarkStart w:id="45" w:name="_Toc456174342"/>
      <w:r>
        <w:rPr>
          <w:w w:val="95"/>
        </w:rPr>
        <w:lastRenderedPageBreak/>
        <w:t>Team Contacts</w:t>
      </w:r>
      <w:bookmarkEnd w:id="45"/>
    </w:p>
    <w:p w14:paraId="04154652" w14:textId="4DDD4C65" w:rsidR="00441F2D" w:rsidRPr="00441F2D" w:rsidRDefault="00441F2D" w:rsidP="00441F2D">
      <w:pPr>
        <w:pStyle w:val="ParaText"/>
      </w:pPr>
      <w:r>
        <w:t>California Public Utilities Commission – Energy Division</w:t>
      </w:r>
      <w:r>
        <w:br/>
        <w:t xml:space="preserve">Jeremy Battis, </w:t>
      </w:r>
      <w:hyperlink r:id="rId22" w:history="1">
        <w:r w:rsidRPr="008A3381">
          <w:rPr>
            <w:rStyle w:val="Hyperlink"/>
          </w:rPr>
          <w:t>jeremy.battis@cpuc.ca.gov</w:t>
        </w:r>
      </w:hyperlink>
      <w:r>
        <w:br/>
        <w:t>(415) 703-3041</w:t>
      </w:r>
      <w:r>
        <w:br/>
      </w:r>
      <w:r w:rsidRPr="00441F2D">
        <w:t>505 Van Ness Avenue, San Francisco, Calif. 94102</w:t>
      </w:r>
    </w:p>
    <w:p w14:paraId="6AEE8E6E" w14:textId="595ABDC4" w:rsidR="00441F2D" w:rsidRDefault="00441F2D" w:rsidP="00441F2D">
      <w:pPr>
        <w:pStyle w:val="ParaText"/>
      </w:pPr>
    </w:p>
    <w:p w14:paraId="5A5B349C" w14:textId="273D0C95" w:rsidR="00441F2D" w:rsidRPr="00441F2D" w:rsidRDefault="00441F2D" w:rsidP="00441F2D">
      <w:pPr>
        <w:pStyle w:val="ParaText"/>
      </w:pPr>
      <w:proofErr w:type="spellStart"/>
      <w:r>
        <w:t>Itron</w:t>
      </w:r>
      <w:proofErr w:type="spellEnd"/>
      <w:r>
        <w:t>, Inc. – Prime Contractor</w:t>
      </w:r>
      <w:r>
        <w:br/>
        <w:t xml:space="preserve">Aaiysha Khursheed, </w:t>
      </w:r>
      <w:hyperlink r:id="rId23" w:history="1">
        <w:r w:rsidRPr="008A3381">
          <w:rPr>
            <w:rStyle w:val="Hyperlink"/>
          </w:rPr>
          <w:t>Aaiysha.khursheed@itron.com</w:t>
        </w:r>
      </w:hyperlink>
      <w:r>
        <w:br/>
      </w:r>
      <w:r w:rsidRPr="00441F2D">
        <w:t>(858) 724-2628</w:t>
      </w:r>
      <w:r>
        <w:br/>
        <w:t>12348 High Bluff Drive, </w:t>
      </w:r>
      <w:r w:rsidRPr="00441F2D">
        <w:t>San Diego, CA 92130</w:t>
      </w:r>
    </w:p>
    <w:p w14:paraId="4C967BD0" w14:textId="28F2BFEE" w:rsidR="00441F2D" w:rsidRDefault="00441F2D" w:rsidP="00441F2D">
      <w:pPr>
        <w:pStyle w:val="ParaText"/>
      </w:pPr>
    </w:p>
    <w:p w14:paraId="4F3149BA" w14:textId="019D615C" w:rsidR="00441F2D" w:rsidRDefault="00441F2D" w:rsidP="00441F2D">
      <w:pPr>
        <w:pStyle w:val="ParaText"/>
      </w:pPr>
      <w:r>
        <w:t>Apex Analytics, LLC – Multifamily Evaluation Lead</w:t>
      </w:r>
      <w:r>
        <w:br/>
        <w:t xml:space="preserve">Katie Parkinson, </w:t>
      </w:r>
      <w:hyperlink r:id="rId24" w:history="1">
        <w:r w:rsidRPr="008A3381">
          <w:rPr>
            <w:rStyle w:val="Hyperlink"/>
          </w:rPr>
          <w:t>katiep@apexanalyticsllc.com</w:t>
        </w:r>
      </w:hyperlink>
      <w:r>
        <w:br/>
        <w:t>(303) 590-9888</w:t>
      </w:r>
      <w:r>
        <w:br/>
        <w:t>1525 Spruce Street, Suite 200, Boulder, CO 80304</w:t>
      </w:r>
    </w:p>
    <w:p w14:paraId="6C187715" w14:textId="77777777" w:rsidR="00441F2D" w:rsidRDefault="00441F2D" w:rsidP="00441F2D">
      <w:pPr>
        <w:pStyle w:val="ParaText"/>
      </w:pPr>
    </w:p>
    <w:p w14:paraId="6EF6C8B1" w14:textId="4944A336" w:rsidR="00441F2D" w:rsidRPr="00441F2D" w:rsidRDefault="00441F2D" w:rsidP="00441F2D">
      <w:pPr>
        <w:pStyle w:val="ParaText"/>
      </w:pPr>
      <w:r>
        <w:t>DNV GL – Single Family Evaluation Lead</w:t>
      </w:r>
      <w:r>
        <w:br/>
        <w:t xml:space="preserve">Jon Vencil, </w:t>
      </w:r>
      <w:hyperlink r:id="rId25" w:history="1">
        <w:r w:rsidRPr="00441F2D">
          <w:rPr>
            <w:rStyle w:val="Hyperlink"/>
            <w:lang w:val="fr-FR"/>
          </w:rPr>
          <w:t>jon.vencil@dnvgl.com</w:t>
        </w:r>
      </w:hyperlink>
      <w:r>
        <w:br/>
        <w:t>(619) 929-</w:t>
      </w:r>
      <w:proofErr w:type="gramStart"/>
      <w:r>
        <w:t>3232  x75110</w:t>
      </w:r>
      <w:proofErr w:type="gramEnd"/>
      <w:r>
        <w:br/>
      </w:r>
      <w:r w:rsidR="00E37ECB">
        <w:t>3605 5</w:t>
      </w:r>
      <w:r w:rsidR="00E37ECB" w:rsidRPr="00E37ECB">
        <w:rPr>
          <w:vertAlign w:val="superscript"/>
        </w:rPr>
        <w:t>th</w:t>
      </w:r>
      <w:r w:rsidR="00E37ECB">
        <w:t xml:space="preserve"> Ave, Suite A, San Diego, CA 92103</w:t>
      </w:r>
      <w:r>
        <w:br/>
      </w:r>
    </w:p>
    <w:sectPr w:rsidR="00441F2D" w:rsidRPr="00441F2D" w:rsidSect="00043E73">
      <w:pgSz w:w="12240" w:h="15840" w:code="1"/>
      <w:pgMar w:top="1440" w:right="1440" w:bottom="1440" w:left="1440" w:header="720" w:footer="720" w:gutter="0"/>
      <w:pgNumType w:chapStyle="7"/>
      <w:cols w:space="720"/>
      <w:docGrid w:linePitch="299"/>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1829BC5" w15:done="0"/>
  <w15:commentEx w15:paraId="70B1326A" w15:done="0"/>
  <w15:commentEx w15:paraId="3D635FE6" w15:done="0"/>
  <w15:commentEx w15:paraId="5FD009DA" w15:done="0"/>
  <w15:commentEx w15:paraId="6212EDA0" w15:done="0"/>
  <w15:commentEx w15:paraId="53001451" w15:done="0"/>
  <w15:commentEx w15:paraId="4D5425F0" w15:done="0"/>
  <w15:commentEx w15:paraId="73DB4B1E" w15:done="0"/>
  <w15:commentEx w15:paraId="3F0B589C" w15:done="0"/>
  <w15:commentEx w15:paraId="4FBB8DA8" w15:done="0"/>
  <w15:commentEx w15:paraId="56B8111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CCF96C" w14:textId="77777777" w:rsidR="007D3FC6" w:rsidRDefault="007D3FC6">
      <w:r>
        <w:separator/>
      </w:r>
    </w:p>
    <w:p w14:paraId="63898950" w14:textId="77777777" w:rsidR="007D3FC6" w:rsidRDefault="007D3FC6"/>
    <w:p w14:paraId="2E659D2D" w14:textId="77777777" w:rsidR="007D3FC6" w:rsidRDefault="007D3FC6"/>
  </w:endnote>
  <w:endnote w:type="continuationSeparator" w:id="0">
    <w:p w14:paraId="6EBB8862" w14:textId="77777777" w:rsidR="007D3FC6" w:rsidRDefault="007D3FC6">
      <w:r>
        <w:continuationSeparator/>
      </w:r>
    </w:p>
    <w:p w14:paraId="2B6C128F" w14:textId="77777777" w:rsidR="007D3FC6" w:rsidRDefault="007D3FC6"/>
    <w:p w14:paraId="6C10D4A2" w14:textId="77777777" w:rsidR="007D3FC6" w:rsidRDefault="007D3FC6"/>
  </w:endnote>
  <w:endnote w:type="continuationNotice" w:id="1">
    <w:p w14:paraId="70151E51" w14:textId="77777777" w:rsidR="007D3FC6" w:rsidRDefault="007D3FC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notTrueType/>
    <w:pitch w:val="default"/>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FA8289" w14:textId="77777777" w:rsidR="004711A6" w:rsidRDefault="004711A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76E9370" w14:textId="77777777" w:rsidR="004711A6" w:rsidRDefault="004711A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F7D046" w14:textId="77777777" w:rsidR="004711A6" w:rsidRDefault="004711A6">
    <w:pPr>
      <w:pStyle w:val="Footer"/>
      <w:pBdr>
        <w:top w:val="none" w:sz="0" w:space="0" w:color="auto"/>
      </w:pBdr>
      <w:rPr>
        <w:i/>
        <w:iC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4169D7" w14:textId="77777777" w:rsidR="004711A6" w:rsidRPr="003E1AA3" w:rsidRDefault="004711A6" w:rsidP="003E1AA3">
    <w:pPr>
      <w:pStyle w:val="Footer"/>
      <w:pBdr>
        <w:top w:val="none" w:sz="0" w:space="0" w:color="auto"/>
      </w:pBdr>
      <w:jc w:val="right"/>
      <w:rPr>
        <w:i/>
        <w:color w:val="254168"/>
        <w:szCs w:val="16"/>
      </w:rPr>
    </w:pPr>
    <w:r>
      <w:rPr>
        <w:color w:val="2C5986"/>
        <w:sz w:val="16"/>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45D20B" w14:textId="77777777" w:rsidR="004711A6" w:rsidRPr="001A1256" w:rsidRDefault="004711A6" w:rsidP="00296E84">
    <w:pPr>
      <w:pStyle w:val="LegalFooter"/>
      <w:rPr>
        <w:color w:val="666666"/>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7D2A73" w14:textId="39338BE7" w:rsidR="004711A6" w:rsidRPr="001A1256" w:rsidRDefault="004711A6" w:rsidP="004444FE">
    <w:pPr>
      <w:spacing w:line="240" w:lineRule="auto"/>
      <w:jc w:val="right"/>
      <w:rPr>
        <w:sz w:val="10"/>
        <w:szCs w:val="10"/>
      </w:rPr>
    </w:pPr>
    <w:r w:rsidRPr="00C71020">
      <w:rPr>
        <w:rFonts w:ascii="Verdana" w:hAnsi="Verdana" w:cstheme="minorHAnsi"/>
        <w:color w:val="BFBFBF" w:themeColor="background1" w:themeShade="BF"/>
        <w:sz w:val="18"/>
        <w:szCs w:val="24"/>
      </w:rPr>
      <w:ptab w:relativeTo="margin" w:alignment="center" w:leader="none"/>
    </w:r>
    <w:r w:rsidRPr="005F5A83">
      <w:rPr>
        <w:rFonts w:ascii="Verdana" w:hAnsi="Verdana" w:cstheme="minorHAnsi"/>
        <w:color w:val="0091C4"/>
        <w:sz w:val="18"/>
        <w:szCs w:val="24"/>
      </w:rPr>
      <w:ptab w:relativeTo="margin" w:alignment="right" w:leader="none"/>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C9E586" w14:textId="612BC51F" w:rsidR="004711A6" w:rsidRPr="001A1256" w:rsidRDefault="004711A6" w:rsidP="004444FE">
    <w:pPr>
      <w:spacing w:line="240" w:lineRule="auto"/>
      <w:jc w:val="right"/>
      <w:rPr>
        <w:sz w:val="10"/>
        <w:szCs w:val="10"/>
      </w:rPr>
    </w:pPr>
    <w:r w:rsidRPr="00C71020">
      <w:rPr>
        <w:rFonts w:ascii="Verdana" w:hAnsi="Verdana" w:cstheme="minorHAnsi"/>
        <w:color w:val="BFBFBF" w:themeColor="background1" w:themeShade="BF"/>
        <w:sz w:val="18"/>
        <w:szCs w:val="24"/>
      </w:rPr>
      <w:ptab w:relativeTo="margin" w:alignment="center" w:leader="none"/>
    </w:r>
    <w:r w:rsidRPr="005F5A83">
      <w:rPr>
        <w:rFonts w:ascii="Verdana" w:hAnsi="Verdana" w:cstheme="minorHAnsi"/>
        <w:color w:val="0091C4"/>
        <w:sz w:val="18"/>
        <w:szCs w:val="24"/>
      </w:rPr>
      <w:ptab w:relativeTo="margin" w:alignment="right" w:leader="none"/>
    </w:r>
    <w:r>
      <w:rPr>
        <w:rFonts w:ascii="Verdana" w:hAnsi="Verdana" w:cstheme="minorHAnsi"/>
        <w:color w:val="0091C4"/>
        <w:sz w:val="18"/>
        <w:szCs w:val="24"/>
      </w:rPr>
      <w:fldChar w:fldCharType="begin"/>
    </w:r>
    <w:r>
      <w:rPr>
        <w:rFonts w:ascii="Verdana" w:hAnsi="Verdana" w:cstheme="minorHAnsi"/>
        <w:color w:val="0091C4"/>
        <w:sz w:val="18"/>
        <w:szCs w:val="24"/>
      </w:rPr>
      <w:instrText xml:space="preserve"> PAGE  \* ArabicDash  \* MERGEFORMAT </w:instrText>
    </w:r>
    <w:r>
      <w:rPr>
        <w:rFonts w:ascii="Verdana" w:hAnsi="Verdana" w:cstheme="minorHAnsi"/>
        <w:color w:val="0091C4"/>
        <w:sz w:val="18"/>
        <w:szCs w:val="24"/>
      </w:rPr>
      <w:fldChar w:fldCharType="separate"/>
    </w:r>
    <w:r w:rsidR="00A53E5B">
      <w:rPr>
        <w:rFonts w:ascii="Verdana" w:hAnsi="Verdana" w:cstheme="minorHAnsi"/>
        <w:noProof/>
        <w:color w:val="0091C4"/>
        <w:sz w:val="18"/>
        <w:szCs w:val="24"/>
      </w:rPr>
      <w:t>- 18 -</w:t>
    </w:r>
    <w:r>
      <w:rPr>
        <w:rFonts w:ascii="Verdana" w:hAnsi="Verdana" w:cstheme="minorHAnsi"/>
        <w:color w:val="0091C4"/>
        <w:sz w:val="18"/>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6D22B5" w14:textId="77777777" w:rsidR="007D3FC6" w:rsidRDefault="007D3FC6">
      <w:r>
        <w:separator/>
      </w:r>
    </w:p>
  </w:footnote>
  <w:footnote w:type="continuationSeparator" w:id="0">
    <w:p w14:paraId="0F71E209" w14:textId="77777777" w:rsidR="007D3FC6" w:rsidRDefault="007D3FC6">
      <w:r>
        <w:continuationSeparator/>
      </w:r>
    </w:p>
  </w:footnote>
  <w:footnote w:type="continuationNotice" w:id="1">
    <w:p w14:paraId="594FE80A" w14:textId="77777777" w:rsidR="007D3FC6" w:rsidRDefault="007D3FC6"/>
  </w:footnote>
  <w:footnote w:id="2">
    <w:p w14:paraId="4BE2996A" w14:textId="27692B6C" w:rsidR="004711A6" w:rsidRDefault="004711A6">
      <w:pPr>
        <w:pStyle w:val="FootnoteText"/>
      </w:pPr>
      <w:r>
        <w:rPr>
          <w:rStyle w:val="FootnoteReference"/>
        </w:rPr>
        <w:footnoteRef/>
      </w:r>
      <w:r w:rsidRPr="007B7EF4">
        <w:t xml:space="preserve"> </w:t>
      </w:r>
      <w:proofErr w:type="spellStart"/>
      <w:r w:rsidRPr="007B7EF4">
        <w:t>Itron</w:t>
      </w:r>
      <w:proofErr w:type="spellEnd"/>
      <w:r w:rsidRPr="007B7EF4">
        <w:t xml:space="preserve">, Inc., Apex Analytics, LLC &amp; DNV_GL. </w:t>
      </w:r>
      <w:r>
        <w:t xml:space="preserve">January, 2016. </w:t>
      </w:r>
      <w:r w:rsidRPr="007010D0">
        <w:rPr>
          <w:i/>
        </w:rPr>
        <w:t>2013-</w:t>
      </w:r>
      <w:r>
        <w:rPr>
          <w:i/>
        </w:rPr>
        <w:t>20</w:t>
      </w:r>
      <w:r w:rsidRPr="007010D0">
        <w:rPr>
          <w:i/>
        </w:rPr>
        <w:t>14 Regional Energy Networks and Community Choice Aggregator Programs Impact Assessment Final Report.</w:t>
      </w:r>
    </w:p>
  </w:footnote>
  <w:footnote w:id="3">
    <w:p w14:paraId="4F24511F" w14:textId="30A56ED0" w:rsidR="004711A6" w:rsidRPr="003C40F6" w:rsidRDefault="004711A6" w:rsidP="00E72B30">
      <w:pPr>
        <w:pStyle w:val="FootnoteText"/>
      </w:pPr>
      <w:r>
        <w:rPr>
          <w:rStyle w:val="FootnoteReference"/>
        </w:rPr>
        <w:footnoteRef/>
      </w:r>
      <w:r>
        <w:t xml:space="preserve"> </w:t>
      </w:r>
      <w:r w:rsidRPr="003C40F6">
        <w:t xml:space="preserve">The </w:t>
      </w:r>
      <w:proofErr w:type="spellStart"/>
      <w:r w:rsidRPr="003C40F6">
        <w:t>BayREN</w:t>
      </w:r>
      <w:proofErr w:type="spellEnd"/>
      <w:r w:rsidRPr="003C40F6">
        <w:t xml:space="preserve"> program implementation plan can be retrieved using the following url:  http://eestats.cpuc.ca.gov/EEGA2010Files/BayREN/PIP/2013/Clean/A.12-07-001%20Supp%2002_Appendix_A_BayREN_PIP_Revised%20091813%20clean.pdf</w:t>
      </w:r>
    </w:p>
  </w:footnote>
  <w:footnote w:id="4">
    <w:p w14:paraId="3F48F564" w14:textId="5D6089AC" w:rsidR="004711A6" w:rsidRPr="003C40F6" w:rsidRDefault="004711A6" w:rsidP="00E72B30">
      <w:pPr>
        <w:pStyle w:val="FootnoteText"/>
      </w:pPr>
      <w:r w:rsidRPr="003C40F6">
        <w:rPr>
          <w:rStyle w:val="FootnoteReference"/>
        </w:rPr>
        <w:footnoteRef/>
      </w:r>
      <w:r>
        <w:t xml:space="preserve"> </w:t>
      </w:r>
      <w:r w:rsidRPr="003C40F6">
        <w:t>The SoCalREN program implementation plan can be retrieved using the following url:  http://eestats.cpuc.ca.gov/EEGA2010Files/SoCalREN/PIP/Clean/2014%2002%2014_Amended%20SoCalREN%20PIP_Clean%20Final.pdf</w:t>
      </w:r>
    </w:p>
  </w:footnote>
  <w:footnote w:id="5">
    <w:p w14:paraId="4C3B1571" w14:textId="77777777" w:rsidR="004711A6" w:rsidRPr="003C40F6" w:rsidRDefault="004711A6">
      <w:pPr>
        <w:pStyle w:val="FootnoteText"/>
      </w:pPr>
      <w:r w:rsidRPr="003C40F6">
        <w:rPr>
          <w:rStyle w:val="FootnoteReference"/>
        </w:rPr>
        <w:footnoteRef/>
      </w:r>
      <w:r>
        <w:t xml:space="preserve"> </w:t>
      </w:r>
      <w:proofErr w:type="spellStart"/>
      <w:r w:rsidRPr="003C40F6">
        <w:t>BayREN</w:t>
      </w:r>
      <w:proofErr w:type="spellEnd"/>
      <w:r w:rsidRPr="003C40F6">
        <w:t xml:space="preserve"> offers the programs for PG&amp;E customers; SoCalREN offers the programs to Southern California Edison and Southern California Gas customers. </w:t>
      </w:r>
    </w:p>
  </w:footnote>
  <w:footnote w:id="6">
    <w:p w14:paraId="5847AC6E" w14:textId="1319B098" w:rsidR="004711A6" w:rsidRDefault="004711A6">
      <w:pPr>
        <w:pStyle w:val="FootnoteText"/>
      </w:pPr>
      <w:r>
        <w:rPr>
          <w:rStyle w:val="FootnoteReference"/>
        </w:rPr>
        <w:footnoteRef/>
      </w:r>
      <w:r>
        <w:t xml:space="preserve"> </w:t>
      </w:r>
      <w:proofErr w:type="spellStart"/>
      <w:r w:rsidRPr="008068AB">
        <w:rPr>
          <w:iCs/>
        </w:rPr>
        <w:t>SoCalREN</w:t>
      </w:r>
      <w:proofErr w:type="spellEnd"/>
      <w:r w:rsidRPr="008068AB">
        <w:rPr>
          <w:iCs/>
        </w:rPr>
        <w:t xml:space="preserve"> administers Home Upgrade in joint SCE/</w:t>
      </w:r>
      <w:proofErr w:type="spellStart"/>
      <w:r w:rsidRPr="008068AB">
        <w:rPr>
          <w:iCs/>
        </w:rPr>
        <w:t>SoCalGas</w:t>
      </w:r>
      <w:proofErr w:type="spellEnd"/>
      <w:r w:rsidRPr="008068AB">
        <w:rPr>
          <w:iCs/>
        </w:rPr>
        <w:t xml:space="preserve"> territory within Los Angeles County. SCE/</w:t>
      </w:r>
      <w:proofErr w:type="spellStart"/>
      <w:r w:rsidRPr="008068AB">
        <w:rPr>
          <w:iCs/>
        </w:rPr>
        <w:t>SoCalGas</w:t>
      </w:r>
      <w:proofErr w:type="spellEnd"/>
      <w:r w:rsidRPr="008068AB">
        <w:rPr>
          <w:iCs/>
        </w:rPr>
        <w:t xml:space="preserve"> operate Advance Home Upgrade throughout their entire territory and Home Upgrade outside Los Angeles County and in </w:t>
      </w:r>
      <w:proofErr w:type="spellStart"/>
      <w:r w:rsidRPr="008068AB">
        <w:rPr>
          <w:iCs/>
        </w:rPr>
        <w:t>SoCalGas</w:t>
      </w:r>
      <w:proofErr w:type="spellEnd"/>
      <w:r w:rsidRPr="008068AB">
        <w:rPr>
          <w:iCs/>
        </w:rPr>
        <w:t>/MOU territory within Los Angeles County.</w:t>
      </w:r>
    </w:p>
  </w:footnote>
  <w:footnote w:id="7">
    <w:p w14:paraId="6FE669BA" w14:textId="69860E2F" w:rsidR="004711A6" w:rsidRPr="003C40F6" w:rsidRDefault="004711A6">
      <w:pPr>
        <w:pStyle w:val="FootnoteText"/>
      </w:pPr>
      <w:r w:rsidRPr="003C40F6">
        <w:rPr>
          <w:rStyle w:val="FootnoteReference"/>
        </w:rPr>
        <w:footnoteRef/>
      </w:r>
      <w:r>
        <w:t xml:space="preserve"> </w:t>
      </w:r>
      <w:proofErr w:type="spellStart"/>
      <w:r w:rsidRPr="003C40F6">
        <w:t>BayREN</w:t>
      </w:r>
      <w:proofErr w:type="spellEnd"/>
      <w:r w:rsidRPr="003C40F6">
        <w:t xml:space="preserve"> does not implement the Advanced Home Upgrade program, but does provide rebates of up to a maximum of $300 to customers that have completed an Advanced Home Upgrade project with PG&amp;E.  PG&amp;E pays the incentive.  </w:t>
      </w:r>
    </w:p>
  </w:footnote>
  <w:footnote w:id="8">
    <w:p w14:paraId="75730153" w14:textId="47CB0B04" w:rsidR="004711A6" w:rsidRDefault="004711A6" w:rsidP="00E72B30">
      <w:pPr>
        <w:pStyle w:val="FootnoteText"/>
      </w:pPr>
      <w:r w:rsidRPr="003C40F6">
        <w:rPr>
          <w:rStyle w:val="FootnoteReference"/>
        </w:rPr>
        <w:footnoteRef/>
      </w:r>
      <w:r>
        <w:t xml:space="preserve"> </w:t>
      </w:r>
      <w:r w:rsidRPr="003C40F6">
        <w:t xml:space="preserve">BayREN began to offer an additional $150 rebate to offset the cost of the requisite combustion appliance zone (CAZ) test beginning in February of 2014. </w:t>
      </w:r>
    </w:p>
  </w:footnote>
  <w:footnote w:id="9">
    <w:p w14:paraId="037F675E" w14:textId="4662B07D" w:rsidR="004711A6" w:rsidRDefault="004711A6">
      <w:pPr>
        <w:pStyle w:val="FootnoteText"/>
      </w:pPr>
      <w:r>
        <w:rPr>
          <w:rStyle w:val="FootnoteReference"/>
        </w:rPr>
        <w:footnoteRef/>
      </w:r>
      <w:r>
        <w:t xml:space="preserve"> Table and program details provided by </w:t>
      </w:r>
      <w:proofErr w:type="spellStart"/>
      <w:r>
        <w:t>SoCalREN</w:t>
      </w:r>
      <w:proofErr w:type="spellEnd"/>
      <w:r>
        <w:t xml:space="preserve"> via basecamp on 7/14/16</w:t>
      </w:r>
    </w:p>
  </w:footnote>
  <w:footnote w:id="10">
    <w:p w14:paraId="5806B7A0" w14:textId="11D12A5D" w:rsidR="004711A6" w:rsidRDefault="004711A6">
      <w:pPr>
        <w:pStyle w:val="FootnoteText"/>
      </w:pPr>
      <w:r>
        <w:rPr>
          <w:rStyle w:val="FootnoteReference"/>
        </w:rPr>
        <w:footnoteRef/>
      </w:r>
      <w:r>
        <w:t xml:space="preserve"> Ex Ante MF savings taken from 2013-2015 </w:t>
      </w:r>
      <w:proofErr w:type="gramStart"/>
      <w:r>
        <w:t>program</w:t>
      </w:r>
      <w:proofErr w:type="gramEnd"/>
      <w:r>
        <w:t xml:space="preserve"> tracking data, accessed 6/20/16; SF data taken from eestats “2013-2015 Monthly Energy Efficiency Program Report” as of December, 2015. Note that these values are not considered final. </w:t>
      </w:r>
    </w:p>
  </w:footnote>
  <w:footnote w:id="11">
    <w:p w14:paraId="14BF5350" w14:textId="162EE7F2" w:rsidR="004711A6" w:rsidRDefault="004711A6">
      <w:pPr>
        <w:pStyle w:val="FootnoteText"/>
      </w:pPr>
      <w:r>
        <w:rPr>
          <w:rStyle w:val="FootnoteReference"/>
        </w:rPr>
        <w:footnoteRef/>
      </w:r>
      <w:r>
        <w:t xml:space="preserve"> See the </w:t>
      </w:r>
      <w:r w:rsidRPr="007010D0">
        <w:rPr>
          <w:i/>
        </w:rPr>
        <w:t>2013-</w:t>
      </w:r>
      <w:r>
        <w:rPr>
          <w:i/>
        </w:rPr>
        <w:t>20</w:t>
      </w:r>
      <w:r w:rsidRPr="007010D0">
        <w:rPr>
          <w:i/>
        </w:rPr>
        <w:t>14 Regional Energy Networks and Community Choice Aggregator Programs Impact Assessment Final Report.</w:t>
      </w:r>
      <w:r>
        <w:rPr>
          <w:i/>
        </w:rPr>
        <w:t xml:space="preserve"> </w:t>
      </w:r>
      <w:proofErr w:type="gramStart"/>
      <w:r>
        <w:t>for</w:t>
      </w:r>
      <w:proofErr w:type="gramEnd"/>
      <w:r>
        <w:t xml:space="preserve"> discussion on the net of free ridership and baseline survey batteries, analysis, and survey instrument. </w:t>
      </w:r>
    </w:p>
  </w:footnote>
  <w:footnote w:id="12">
    <w:p w14:paraId="516E796C" w14:textId="34B298E2" w:rsidR="004711A6" w:rsidRDefault="004711A6">
      <w:pPr>
        <w:pStyle w:val="FootnoteText"/>
      </w:pPr>
      <w:r>
        <w:rPr>
          <w:rStyle w:val="FootnoteReference"/>
        </w:rPr>
        <w:footnoteRef/>
      </w:r>
      <w:r>
        <w:t xml:space="preserve"> The amount of the incentive is currently under discussion. </w:t>
      </w:r>
    </w:p>
  </w:footnote>
  <w:footnote w:id="13">
    <w:p w14:paraId="0AEBE3E8" w14:textId="77777777" w:rsidR="004711A6" w:rsidRDefault="004711A6">
      <w:pPr>
        <w:pStyle w:val="FootnoteText"/>
      </w:pPr>
      <w:r>
        <w:rPr>
          <w:rStyle w:val="FootnoteReference"/>
        </w:rPr>
        <w:footnoteRef/>
      </w:r>
      <w:r>
        <w:t xml:space="preserve"> Data from the 2013-2014 assessment indicate there are properties with hundreds of measures installed at a given site. </w:t>
      </w:r>
    </w:p>
  </w:footnote>
  <w:footnote w:id="14">
    <w:p w14:paraId="1692E578" w14:textId="2084F2F4" w:rsidR="004711A6" w:rsidRDefault="004711A6">
      <w:pPr>
        <w:pStyle w:val="FootnoteText"/>
      </w:pPr>
      <w:r>
        <w:rPr>
          <w:rStyle w:val="FootnoteReference"/>
        </w:rPr>
        <w:footnoteRef/>
      </w:r>
      <w:r>
        <w:t xml:space="preserve"> This is due to tenant turnover and associated account changes, as well as the uncertainty around fully capturing all tenant and common areas at a given property. For full details, see Itron, Inc &amp; Apex Analytics, LLC. January, 2016. </w:t>
      </w:r>
      <w:r w:rsidRPr="007010D0">
        <w:rPr>
          <w:i/>
        </w:rPr>
        <w:t>2013-</w:t>
      </w:r>
      <w:r>
        <w:rPr>
          <w:i/>
        </w:rPr>
        <w:t>20</w:t>
      </w:r>
      <w:r w:rsidRPr="007010D0">
        <w:rPr>
          <w:i/>
        </w:rPr>
        <w:t>14 Regional Energy Networks and Community Choice Aggregator Programs Impact Assessment Final Report.</w:t>
      </w:r>
    </w:p>
  </w:footnote>
  <w:footnote w:id="15">
    <w:p w14:paraId="1C79EA30" w14:textId="77777777" w:rsidR="004711A6" w:rsidRDefault="004711A6">
      <w:pPr>
        <w:pStyle w:val="FootnoteText"/>
      </w:pPr>
      <w:r>
        <w:rPr>
          <w:rStyle w:val="FootnoteReference"/>
        </w:rPr>
        <w:footnoteRef/>
      </w:r>
      <w:r>
        <w:t xml:space="preserve"> In projects where (a) all measures qualify for early replacement (no evidence of replace on burnout) and (b) we have full 12 months of pre and post consumption information, the team will attempt a pre/post billing analysis in lieu of the simulation model.  However, the team believes it is unlikely that both these requirements will be met for most projects. </w:t>
      </w:r>
    </w:p>
  </w:footnote>
  <w:footnote w:id="16">
    <w:p w14:paraId="4C6CE6DD" w14:textId="39D9088A" w:rsidR="004711A6" w:rsidRDefault="004711A6">
      <w:pPr>
        <w:pStyle w:val="FootnoteText"/>
      </w:pPr>
      <w:r>
        <w:rPr>
          <w:rStyle w:val="FootnoteReference"/>
        </w:rPr>
        <w:footnoteRef/>
      </w:r>
      <w:r>
        <w:t xml:space="preserve"> Different </w:t>
      </w:r>
      <w:proofErr w:type="spellStart"/>
      <w:r>
        <w:t>EnergyPro</w:t>
      </w:r>
      <w:proofErr w:type="spellEnd"/>
      <w:r>
        <w:t xml:space="preserve"> versions, including </w:t>
      </w:r>
      <w:proofErr w:type="spellStart"/>
      <w:r>
        <w:t>EnergyPro</w:t>
      </w:r>
      <w:proofErr w:type="spellEnd"/>
      <w:r>
        <w:t xml:space="preserve"> Lite, will be considered for use in this activity. The evaluation team will determine and use the version most appropriate for these properties. </w:t>
      </w:r>
    </w:p>
  </w:footnote>
  <w:footnote w:id="17">
    <w:p w14:paraId="4BCC3FB9" w14:textId="77777777" w:rsidR="004711A6" w:rsidRDefault="004711A6" w:rsidP="004444FE">
      <w:pPr>
        <w:pStyle w:val="FootnoteText"/>
      </w:pPr>
      <w:r>
        <w:rPr>
          <w:rStyle w:val="FootnoteReference"/>
        </w:rPr>
        <w:footnoteRef/>
      </w:r>
      <w:r>
        <w:t xml:space="preserve"> Impact Evaluation of 2013-2015 Home Upgrade Programs will be conducted simultaneously, and in coordination with, this evaluation.</w:t>
      </w:r>
    </w:p>
  </w:footnote>
  <w:footnote w:id="18">
    <w:p w14:paraId="75B581C5" w14:textId="77777777" w:rsidR="004711A6" w:rsidRPr="004065B9" w:rsidRDefault="004711A6" w:rsidP="004444FE">
      <w:pPr>
        <w:pStyle w:val="Default"/>
        <w:rPr>
          <w:sz w:val="16"/>
          <w:szCs w:val="16"/>
        </w:rPr>
      </w:pPr>
      <w:r w:rsidRPr="005324EA">
        <w:rPr>
          <w:rStyle w:val="FootnoteReference"/>
          <w:rFonts w:ascii="Verdana" w:hAnsi="Verdana"/>
          <w:szCs w:val="18"/>
        </w:rPr>
        <w:footnoteRef/>
      </w:r>
      <w:r w:rsidRPr="004065B9">
        <w:rPr>
          <w:sz w:val="16"/>
          <w:szCs w:val="16"/>
        </w:rPr>
        <w:t xml:space="preserve"> </w:t>
      </w:r>
      <w:r w:rsidRPr="00083009">
        <w:rPr>
          <w:rFonts w:ascii="Verdana" w:hAnsi="Verdana"/>
          <w:sz w:val="16"/>
          <w:szCs w:val="16"/>
        </w:rPr>
        <w:t>For a discussion of approaches see, Chapter 8: Whole-Building Retrofit with Consumption Data Analysis Evaluation Protocol, The Uniform Methods Project: Methods for Determining Energy Efficiency Savings for Specific Measures NREL/SR-7A30-53827 April 2013</w:t>
      </w:r>
      <w:r>
        <w:rPr>
          <w:rFonts w:ascii="Verdana" w:hAnsi="Verdana"/>
          <w:sz w:val="16"/>
          <w:szCs w:val="16"/>
        </w:rPr>
        <w:t>.</w:t>
      </w:r>
    </w:p>
  </w:footnote>
  <w:footnote w:id="19">
    <w:p w14:paraId="524B5EEE" w14:textId="77777777" w:rsidR="004711A6" w:rsidRPr="00627B2E" w:rsidRDefault="004711A6" w:rsidP="009B11EB">
      <w:pPr>
        <w:pStyle w:val="FootnoteText"/>
        <w:rPr>
          <w:sz w:val="16"/>
          <w:szCs w:val="16"/>
        </w:rPr>
      </w:pPr>
      <w:r w:rsidRPr="00627B2E">
        <w:rPr>
          <w:rStyle w:val="FootnoteReference"/>
          <w:sz w:val="16"/>
          <w:szCs w:val="16"/>
        </w:rPr>
        <w:footnoteRef/>
      </w:r>
      <w:r w:rsidRPr="00627B2E">
        <w:rPr>
          <w:sz w:val="16"/>
          <w:szCs w:val="16"/>
        </w:rPr>
        <w:t xml:space="preserve"> This definition is consistent with the definition used in the 2005 Database for Energy </w:t>
      </w:r>
      <w:r>
        <w:rPr>
          <w:sz w:val="16"/>
          <w:szCs w:val="16"/>
        </w:rPr>
        <w:t xml:space="preserve">Efficiency Resources (DEER), but may be changed if the </w:t>
      </w:r>
      <w:proofErr w:type="spellStart"/>
      <w:r>
        <w:rPr>
          <w:sz w:val="16"/>
          <w:szCs w:val="16"/>
        </w:rPr>
        <w:t>CalTRACK</w:t>
      </w:r>
      <w:proofErr w:type="spellEnd"/>
      <w:r>
        <w:rPr>
          <w:sz w:val="16"/>
          <w:szCs w:val="16"/>
        </w:rPr>
        <w:t xml:space="preserve"> team produces a new and different definition before December 2016.</w:t>
      </w:r>
    </w:p>
  </w:footnote>
  <w:footnote w:id="20">
    <w:p w14:paraId="4F4057D4" w14:textId="77777777" w:rsidR="004711A6" w:rsidRPr="006F1375" w:rsidRDefault="004711A6" w:rsidP="004444FE">
      <w:pPr>
        <w:pStyle w:val="FootnoteText"/>
      </w:pPr>
      <w:r w:rsidRPr="005324EA">
        <w:rPr>
          <w:rStyle w:val="FootnoteReference"/>
        </w:rPr>
        <w:footnoteRef/>
      </w:r>
      <w:r w:rsidRPr="006F1375">
        <w:t xml:space="preserve"> The higher the </w:t>
      </w:r>
      <w:r>
        <w:t>dew point</w:t>
      </w:r>
      <w:r w:rsidRPr="006F1375">
        <w:t>, the more moisture there is in the air</w:t>
      </w:r>
      <w:r>
        <w:t>.</w:t>
      </w:r>
    </w:p>
  </w:footnote>
  <w:footnote w:id="21">
    <w:p w14:paraId="0C19F2C1" w14:textId="77777777" w:rsidR="004711A6" w:rsidRDefault="004711A6">
      <w:pPr>
        <w:pStyle w:val="FootnoteText"/>
      </w:pPr>
      <w:r>
        <w:rPr>
          <w:rStyle w:val="FootnoteReference"/>
        </w:rPr>
        <w:footnoteRef/>
      </w:r>
      <w:r>
        <w:t xml:space="preserve"> </w:t>
      </w:r>
      <w:proofErr w:type="gramStart"/>
      <w:r w:rsidRPr="001F485C">
        <w:t>CPUC Energy Division.</w:t>
      </w:r>
      <w:proofErr w:type="gramEnd"/>
      <w:r w:rsidRPr="001F485C">
        <w:t xml:space="preserve"> Methodological Framework for Using the Self-Report Approach to Estimating Net-to-Gross Ratios for Nonresidential Customers. Prepared by the Nonresidential Net-To-Gross Ratio Working Group. October 16, 2012.</w:t>
      </w:r>
    </w:p>
  </w:footnote>
  <w:footnote w:id="22">
    <w:p w14:paraId="1F1BE2DE" w14:textId="7409AB8E" w:rsidR="004711A6" w:rsidRDefault="004711A6">
      <w:pPr>
        <w:pStyle w:val="FootnoteText"/>
      </w:pPr>
      <w:r>
        <w:rPr>
          <w:rStyle w:val="FootnoteReference"/>
        </w:rPr>
        <w:footnoteRef/>
      </w:r>
      <w:r>
        <w:t xml:space="preserve"> A 5% adder applied to statewide programs to account for spillover. </w:t>
      </w:r>
      <w:r w:rsidRPr="008C1809">
        <w:t>ESPI Decision (D.</w:t>
      </w:r>
      <w:r>
        <w:t xml:space="preserve">13-09-023), September 5, 2013, </w:t>
      </w:r>
      <w:r w:rsidRPr="008C1809">
        <w:t>pages 27 and 36</w:t>
      </w:r>
      <w:r>
        <w:t>.</w:t>
      </w:r>
    </w:p>
  </w:footnote>
  <w:footnote w:id="23">
    <w:p w14:paraId="42788148" w14:textId="77777777" w:rsidR="004711A6" w:rsidRDefault="004711A6" w:rsidP="00B7625A">
      <w:pPr>
        <w:pStyle w:val="FootnoteText"/>
      </w:pPr>
      <w:r>
        <w:rPr>
          <w:rStyle w:val="FootnoteReference"/>
        </w:rPr>
        <w:footnoteRef/>
      </w:r>
      <w:r>
        <w:t xml:space="preserve"> REN projects represent 15% of all home upgrade projects statewide. This sample is part of a larger Home Upgrade sample that includes IOU projects and a total sample size of approximately 400 households.</w:t>
      </w:r>
    </w:p>
  </w:footnote>
  <w:footnote w:id="24">
    <w:p w14:paraId="5A829C3F" w14:textId="08B38B3B" w:rsidR="004711A6" w:rsidRDefault="004711A6">
      <w:pPr>
        <w:pStyle w:val="FootnoteText"/>
      </w:pPr>
      <w:r>
        <w:rPr>
          <w:rStyle w:val="FootnoteReference"/>
        </w:rPr>
        <w:footnoteRef/>
      </w:r>
      <w:r>
        <w:t xml:space="preserve"> This text adopted from Work Order Number ED_I_LnR_3, dated May, 2016.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612" w:type="dxa"/>
      <w:tblLook w:val="04A0" w:firstRow="1" w:lastRow="0" w:firstColumn="1" w:lastColumn="0" w:noHBand="0" w:noVBand="1"/>
    </w:tblPr>
    <w:tblGrid>
      <w:gridCol w:w="6120"/>
      <w:gridCol w:w="5508"/>
    </w:tblGrid>
    <w:tr w:rsidR="004711A6" w14:paraId="05869774" w14:textId="77777777" w:rsidTr="0061654B">
      <w:tc>
        <w:tcPr>
          <w:tcW w:w="11628" w:type="dxa"/>
          <w:gridSpan w:val="2"/>
          <w:shd w:val="clear" w:color="auto" w:fill="auto"/>
        </w:tcPr>
        <w:p w14:paraId="33B36DC3" w14:textId="70435CAE" w:rsidR="004711A6" w:rsidRDefault="004711A6" w:rsidP="00BB572C"/>
      </w:tc>
    </w:tr>
    <w:tr w:rsidR="004711A6" w14:paraId="55DBEF40" w14:textId="77777777" w:rsidTr="0061654B">
      <w:tc>
        <w:tcPr>
          <w:tcW w:w="6120" w:type="dxa"/>
          <w:shd w:val="clear" w:color="auto" w:fill="auto"/>
        </w:tcPr>
        <w:p w14:paraId="176CE6CE" w14:textId="77777777" w:rsidR="004711A6" w:rsidRDefault="004711A6" w:rsidP="00BB572C"/>
      </w:tc>
      <w:tc>
        <w:tcPr>
          <w:tcW w:w="5508" w:type="dxa"/>
          <w:shd w:val="clear" w:color="auto" w:fill="auto"/>
        </w:tcPr>
        <w:p w14:paraId="47DF2003" w14:textId="77777777" w:rsidR="004711A6" w:rsidRDefault="004711A6" w:rsidP="00A66235">
          <w:pPr>
            <w:jc w:val="right"/>
          </w:pPr>
        </w:p>
      </w:tc>
    </w:tr>
  </w:tbl>
  <w:p w14:paraId="7176541F" w14:textId="77777777" w:rsidR="004711A6" w:rsidRDefault="004711A6" w:rsidP="00E377E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4AE962" w14:textId="63477F69" w:rsidR="004711A6" w:rsidRDefault="004711A6" w:rsidP="001A125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B4C723" w14:textId="77777777" w:rsidR="004711A6" w:rsidRPr="00C71020" w:rsidRDefault="007D3FC6" w:rsidP="00C71020">
    <w:pPr>
      <w:pStyle w:val="Header"/>
      <w:pBdr>
        <w:bottom w:val="single" w:sz="4" w:space="8" w:color="003591" w:themeColor="accent1"/>
      </w:pBdr>
      <w:spacing w:after="360"/>
      <w:contextualSpacing/>
      <w:jc w:val="center"/>
      <w:rPr>
        <w:color w:val="404040" w:themeColor="text1" w:themeTint="BF"/>
        <w:sz w:val="24"/>
      </w:rPr>
    </w:pPr>
    <w:sdt>
      <w:sdtPr>
        <w:rPr>
          <w:color w:val="404040" w:themeColor="text1" w:themeTint="BF"/>
          <w:sz w:val="24"/>
        </w:rPr>
        <w:alias w:val="Title"/>
        <w:tag w:val=""/>
        <w:id w:val="-404762698"/>
        <w:placeholder>
          <w:docPart w:val="8842C69606FC4DE8A4838BF619E91793"/>
        </w:placeholder>
        <w:dataBinding w:prefixMappings="xmlns:ns0='http://purl.org/dc/elements/1.1/' xmlns:ns1='http://schemas.openxmlformats.org/package/2006/metadata/core-properties' " w:xpath="/ns1:coreProperties[1]/ns0:title[1]" w:storeItemID="{6C3C8BC8-F283-45AE-878A-BAB7291924A1}"/>
        <w:text/>
      </w:sdtPr>
      <w:sdtEndPr/>
      <w:sdtContent>
        <w:r w:rsidR="004711A6">
          <w:rPr>
            <w:color w:val="404040" w:themeColor="text1" w:themeTint="BF"/>
            <w:sz w:val="24"/>
          </w:rPr>
          <w:t>2013-2015 REN Impact Research Plan</w:t>
        </w:r>
      </w:sdtContent>
    </w:sdt>
  </w:p>
  <w:p w14:paraId="5A4866ED" w14:textId="77777777" w:rsidR="004711A6" w:rsidRDefault="004711A6"/>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A8F98" w14:textId="77777777" w:rsidR="004711A6" w:rsidRDefault="004711A6" w:rsidP="00262A50">
    <w:pPr>
      <w:ind w:left="-14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8A8AB40"/>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50BC8F1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7B90BF64"/>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73842AC8"/>
    <w:lvl w:ilvl="0">
      <w:start w:val="1"/>
      <w:numFmt w:val="decimal"/>
      <w:pStyle w:val="ListNumber2"/>
      <w:lvlText w:val="%1."/>
      <w:lvlJc w:val="left"/>
      <w:pPr>
        <w:tabs>
          <w:tab w:val="num" w:pos="720"/>
        </w:tabs>
        <w:ind w:left="720" w:hanging="360"/>
      </w:pPr>
    </w:lvl>
  </w:abstractNum>
  <w:abstractNum w:abstractNumId="4">
    <w:nsid w:val="FFFFFF80"/>
    <w:multiLevelType w:val="singleLevel"/>
    <w:tmpl w:val="2CEE07BC"/>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107E251A"/>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8C727A06"/>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C112460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FEF80370"/>
    <w:lvl w:ilvl="0">
      <w:start w:val="1"/>
      <w:numFmt w:val="decimal"/>
      <w:pStyle w:val="ListNumber"/>
      <w:lvlText w:val="%1."/>
      <w:lvlJc w:val="left"/>
      <w:pPr>
        <w:tabs>
          <w:tab w:val="num" w:pos="360"/>
        </w:tabs>
        <w:ind w:left="360" w:hanging="360"/>
      </w:pPr>
    </w:lvl>
  </w:abstractNum>
  <w:abstractNum w:abstractNumId="9">
    <w:nsid w:val="FFFFFF89"/>
    <w:multiLevelType w:val="singleLevel"/>
    <w:tmpl w:val="34C284F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FFFFFFFE"/>
    <w:multiLevelType w:val="singleLevel"/>
    <w:tmpl w:val="D760FB2E"/>
    <w:lvl w:ilvl="0">
      <w:numFmt w:val="decimal"/>
      <w:lvlText w:val="*"/>
      <w:lvlJc w:val="left"/>
    </w:lvl>
  </w:abstractNum>
  <w:abstractNum w:abstractNumId="11">
    <w:nsid w:val="0AD42741"/>
    <w:multiLevelType w:val="multilevel"/>
    <w:tmpl w:val="6B94A888"/>
    <w:lvl w:ilvl="0">
      <w:start w:val="1"/>
      <w:numFmt w:val="decimal"/>
      <w:lvlText w:val="%1"/>
      <w:lvlJc w:val="left"/>
      <w:pPr>
        <w:tabs>
          <w:tab w:val="num" w:pos="454"/>
        </w:tabs>
        <w:ind w:left="454" w:hanging="454"/>
      </w:pPr>
    </w:lvl>
    <w:lvl w:ilvl="1">
      <w:start w:val="1"/>
      <w:numFmt w:val="decimal"/>
      <w:lvlText w:val="%1.%2"/>
      <w:lvlJc w:val="left"/>
      <w:pPr>
        <w:tabs>
          <w:tab w:val="num" w:pos="680"/>
        </w:tabs>
        <w:ind w:left="680" w:hanging="680"/>
      </w:pPr>
    </w:lvl>
    <w:lvl w:ilvl="2">
      <w:start w:val="1"/>
      <w:numFmt w:val="decimal"/>
      <w:lvlText w:val="%1.%2.%3"/>
      <w:lvlJc w:val="left"/>
      <w:pPr>
        <w:tabs>
          <w:tab w:val="num" w:pos="907"/>
        </w:tabs>
        <w:ind w:left="907" w:hanging="907"/>
      </w:pPr>
    </w:lvl>
    <w:lvl w:ilvl="3">
      <w:start w:val="1"/>
      <w:numFmt w:val="decimal"/>
      <w:lvlText w:val="%1.%2.%3.%4"/>
      <w:lvlJc w:val="left"/>
      <w:pPr>
        <w:tabs>
          <w:tab w:val="num" w:pos="1134"/>
        </w:tabs>
        <w:ind w:left="1134" w:hanging="1134"/>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nsid w:val="1D8A7171"/>
    <w:multiLevelType w:val="multilevel"/>
    <w:tmpl w:val="67F0C0C4"/>
    <w:numStyleLink w:val="CnAListBullets"/>
  </w:abstractNum>
  <w:abstractNum w:abstractNumId="13">
    <w:nsid w:val="23970957"/>
    <w:multiLevelType w:val="hybridMultilevel"/>
    <w:tmpl w:val="351E376A"/>
    <w:lvl w:ilvl="0" w:tplc="5AE8CDF8">
      <w:start w:val="1"/>
      <w:numFmt w:val="bullet"/>
      <w:pStyle w:val="Resumebulletindent"/>
      <w:lvlText w:val=""/>
      <w:lvlJc w:val="left"/>
      <w:pPr>
        <w:ind w:left="720" w:hanging="360"/>
      </w:pPr>
      <w:rPr>
        <w:rFonts w:ascii="Wingdings" w:hAnsi="Wingdings" w:hint="default"/>
        <w:b/>
        <w:i w:val="0"/>
        <w:color w:val="auto"/>
        <w:sz w:val="22"/>
        <w:szCs w:val="2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9FB43EF"/>
    <w:multiLevelType w:val="hybridMultilevel"/>
    <w:tmpl w:val="339C4FB8"/>
    <w:lvl w:ilvl="0" w:tplc="A796D500">
      <w:start w:val="1"/>
      <w:numFmt w:val="bullet"/>
      <w:pStyle w:val="Bullet1"/>
      <w:lvlText w:val=""/>
      <w:lvlJc w:val="left"/>
      <w:pPr>
        <w:ind w:left="720" w:hanging="360"/>
      </w:pPr>
      <w:rPr>
        <w:rFonts w:ascii="Wingdings" w:hAnsi="Wingdings" w:hint="default"/>
        <w:b/>
        <w:i w:val="0"/>
        <w:color w:val="auto"/>
        <w:sz w:val="22"/>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A5707EA"/>
    <w:multiLevelType w:val="multilevel"/>
    <w:tmpl w:val="67F0C0C4"/>
    <w:styleLink w:val="CnAListBullets"/>
    <w:lvl w:ilvl="0">
      <w:start w:val="1"/>
      <w:numFmt w:val="bullet"/>
      <w:lvlText w:val=""/>
      <w:lvlJc w:val="left"/>
      <w:pPr>
        <w:ind w:left="720" w:hanging="432"/>
      </w:pPr>
      <w:rPr>
        <w:rFonts w:ascii="Wingdings" w:hAnsi="Wingdings" w:hint="default"/>
        <w:sz w:val="16"/>
      </w:rPr>
    </w:lvl>
    <w:lvl w:ilvl="1">
      <w:start w:val="1"/>
      <w:numFmt w:val="bullet"/>
      <w:lvlText w:val="─"/>
      <w:lvlJc w:val="left"/>
      <w:pPr>
        <w:ind w:left="1152" w:hanging="432"/>
      </w:pPr>
      <w:rPr>
        <w:rFonts w:ascii="Times New Roman" w:hAnsi="Times New Roman" w:cs="Times New Roman" w:hint="default"/>
        <w:b/>
        <w:sz w:val="24"/>
      </w:rPr>
    </w:lvl>
    <w:lvl w:ilvl="2">
      <w:start w:val="1"/>
      <w:numFmt w:val="bullet"/>
      <w:lvlText w:val="-"/>
      <w:lvlJc w:val="left"/>
      <w:pPr>
        <w:ind w:left="1584" w:hanging="432"/>
      </w:pPr>
      <w:rPr>
        <w:rFonts w:ascii="Times New Roman" w:hAnsi="Times New Roman" w:cs="Times New Roman" w:hint="default"/>
        <w:sz w:val="24"/>
      </w:rPr>
    </w:lvl>
    <w:lvl w:ilvl="3">
      <w:start w:val="1"/>
      <w:numFmt w:val="bullet"/>
      <w:lvlText w:val=""/>
      <w:lvlJc w:val="left"/>
      <w:pPr>
        <w:ind w:left="2016" w:hanging="432"/>
      </w:pPr>
      <w:rPr>
        <w:rFonts w:ascii="Symbol" w:hAnsi="Symbol" w:hint="default"/>
      </w:rPr>
    </w:lvl>
    <w:lvl w:ilvl="4">
      <w:start w:val="1"/>
      <w:numFmt w:val="bullet"/>
      <w:lvlText w:val=""/>
      <w:lvlJc w:val="left"/>
      <w:pPr>
        <w:ind w:left="2448" w:hanging="432"/>
      </w:pPr>
      <w:rPr>
        <w:rFonts w:ascii="Symbol" w:hAnsi="Symbol" w:hint="default"/>
      </w:rPr>
    </w:lvl>
    <w:lvl w:ilvl="5">
      <w:start w:val="1"/>
      <w:numFmt w:val="bullet"/>
      <w:lvlText w:val=""/>
      <w:lvlJc w:val="left"/>
      <w:pPr>
        <w:ind w:left="2880" w:hanging="432"/>
      </w:pPr>
      <w:rPr>
        <w:rFonts w:ascii="Wingdings" w:hAnsi="Wingdings" w:hint="default"/>
      </w:rPr>
    </w:lvl>
    <w:lvl w:ilvl="6">
      <w:start w:val="1"/>
      <w:numFmt w:val="bullet"/>
      <w:lvlText w:val=""/>
      <w:lvlJc w:val="left"/>
      <w:pPr>
        <w:ind w:left="3312" w:hanging="432"/>
      </w:pPr>
      <w:rPr>
        <w:rFonts w:ascii="Wingdings" w:hAnsi="Wingdings" w:hint="default"/>
      </w:rPr>
    </w:lvl>
    <w:lvl w:ilvl="7">
      <w:start w:val="1"/>
      <w:numFmt w:val="bullet"/>
      <w:lvlText w:val=""/>
      <w:lvlJc w:val="left"/>
      <w:pPr>
        <w:ind w:left="3744" w:hanging="432"/>
      </w:pPr>
      <w:rPr>
        <w:rFonts w:ascii="Symbol" w:hAnsi="Symbol" w:hint="default"/>
      </w:rPr>
    </w:lvl>
    <w:lvl w:ilvl="8">
      <w:start w:val="1"/>
      <w:numFmt w:val="bullet"/>
      <w:lvlText w:val=""/>
      <w:lvlJc w:val="left"/>
      <w:pPr>
        <w:ind w:left="4176" w:hanging="432"/>
      </w:pPr>
      <w:rPr>
        <w:rFonts w:ascii="Symbol" w:hAnsi="Symbol" w:hint="default"/>
      </w:rPr>
    </w:lvl>
  </w:abstractNum>
  <w:abstractNum w:abstractNumId="16">
    <w:nsid w:val="31DC7A43"/>
    <w:multiLevelType w:val="multilevel"/>
    <w:tmpl w:val="67F0C0C4"/>
    <w:lvl w:ilvl="0">
      <w:start w:val="1"/>
      <w:numFmt w:val="bullet"/>
      <w:lvlText w:val=""/>
      <w:lvlJc w:val="left"/>
      <w:pPr>
        <w:ind w:left="720" w:hanging="432"/>
      </w:pPr>
      <w:rPr>
        <w:rFonts w:ascii="Wingdings" w:hAnsi="Wingdings" w:hint="default"/>
        <w:sz w:val="16"/>
      </w:rPr>
    </w:lvl>
    <w:lvl w:ilvl="1">
      <w:start w:val="1"/>
      <w:numFmt w:val="bullet"/>
      <w:lvlText w:val="─"/>
      <w:lvlJc w:val="left"/>
      <w:pPr>
        <w:ind w:left="1152" w:hanging="432"/>
      </w:pPr>
      <w:rPr>
        <w:rFonts w:ascii="Times New Roman" w:hAnsi="Times New Roman" w:cs="Times New Roman" w:hint="default"/>
        <w:b/>
        <w:sz w:val="24"/>
      </w:rPr>
    </w:lvl>
    <w:lvl w:ilvl="2">
      <w:start w:val="1"/>
      <w:numFmt w:val="bullet"/>
      <w:lvlText w:val="-"/>
      <w:lvlJc w:val="left"/>
      <w:pPr>
        <w:ind w:left="1584" w:hanging="432"/>
      </w:pPr>
      <w:rPr>
        <w:rFonts w:ascii="Times New Roman" w:hAnsi="Times New Roman" w:cs="Times New Roman" w:hint="default"/>
        <w:sz w:val="24"/>
      </w:rPr>
    </w:lvl>
    <w:lvl w:ilvl="3">
      <w:start w:val="1"/>
      <w:numFmt w:val="bullet"/>
      <w:lvlText w:val=""/>
      <w:lvlJc w:val="left"/>
      <w:pPr>
        <w:ind w:left="2016" w:hanging="432"/>
      </w:pPr>
      <w:rPr>
        <w:rFonts w:ascii="Symbol" w:hAnsi="Symbol" w:hint="default"/>
      </w:rPr>
    </w:lvl>
    <w:lvl w:ilvl="4">
      <w:start w:val="1"/>
      <w:numFmt w:val="bullet"/>
      <w:lvlText w:val=""/>
      <w:lvlJc w:val="left"/>
      <w:pPr>
        <w:ind w:left="2448" w:hanging="432"/>
      </w:pPr>
      <w:rPr>
        <w:rFonts w:ascii="Symbol" w:hAnsi="Symbol" w:hint="default"/>
      </w:rPr>
    </w:lvl>
    <w:lvl w:ilvl="5">
      <w:start w:val="1"/>
      <w:numFmt w:val="bullet"/>
      <w:lvlText w:val=""/>
      <w:lvlJc w:val="left"/>
      <w:pPr>
        <w:ind w:left="2880" w:hanging="432"/>
      </w:pPr>
      <w:rPr>
        <w:rFonts w:ascii="Wingdings" w:hAnsi="Wingdings" w:hint="default"/>
      </w:rPr>
    </w:lvl>
    <w:lvl w:ilvl="6">
      <w:start w:val="1"/>
      <w:numFmt w:val="bullet"/>
      <w:lvlText w:val=""/>
      <w:lvlJc w:val="left"/>
      <w:pPr>
        <w:ind w:left="3312" w:hanging="432"/>
      </w:pPr>
      <w:rPr>
        <w:rFonts w:ascii="Wingdings" w:hAnsi="Wingdings" w:hint="default"/>
      </w:rPr>
    </w:lvl>
    <w:lvl w:ilvl="7">
      <w:start w:val="1"/>
      <w:numFmt w:val="bullet"/>
      <w:lvlText w:val=""/>
      <w:lvlJc w:val="left"/>
      <w:pPr>
        <w:ind w:left="3744" w:hanging="432"/>
      </w:pPr>
      <w:rPr>
        <w:rFonts w:ascii="Symbol" w:hAnsi="Symbol" w:hint="default"/>
      </w:rPr>
    </w:lvl>
    <w:lvl w:ilvl="8">
      <w:start w:val="1"/>
      <w:numFmt w:val="bullet"/>
      <w:lvlText w:val=""/>
      <w:lvlJc w:val="left"/>
      <w:pPr>
        <w:ind w:left="4176" w:hanging="432"/>
      </w:pPr>
      <w:rPr>
        <w:rFonts w:ascii="Symbol" w:hAnsi="Symbol" w:hint="default"/>
      </w:rPr>
    </w:lvl>
  </w:abstractNum>
  <w:abstractNum w:abstractNumId="17">
    <w:nsid w:val="31EC5CA7"/>
    <w:multiLevelType w:val="multilevel"/>
    <w:tmpl w:val="C19AC302"/>
    <w:lvl w:ilvl="0">
      <w:start w:val="1"/>
      <w:numFmt w:val="decimal"/>
      <w:pStyle w:val="Heading1"/>
      <w:lvlText w:val="%1."/>
      <w:lvlJc w:val="left"/>
      <w:pPr>
        <w:tabs>
          <w:tab w:val="num" w:pos="1080"/>
        </w:tabs>
        <w:ind w:left="1080" w:hanging="1080"/>
      </w:pPr>
      <w:rPr>
        <w:rFonts w:ascii="Calibri" w:hAnsi="Calibri" w:cs="Georgia" w:hint="default"/>
        <w:b/>
        <w:bCs w:val="0"/>
        <w:i w:val="0"/>
        <w:iCs w:val="0"/>
        <w:caps w:val="0"/>
        <w:smallCaps w:val="0"/>
        <w:strike w:val="0"/>
        <w:dstrike w:val="0"/>
        <w:noProof w:val="0"/>
        <w:vanish w:val="0"/>
        <w:color w:val="3F9C35" w:themeColor="accent2"/>
        <w:spacing w:val="0"/>
        <w:kern w:val="0"/>
        <w:position w:val="0"/>
        <w:sz w:val="3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1080"/>
        </w:tabs>
        <w:ind w:left="1080" w:hanging="1080"/>
      </w:pPr>
      <w:rPr>
        <w:rFonts w:ascii="Calibri" w:hAnsi="Calibri" w:hint="default"/>
        <w:b/>
        <w:bCs w:val="0"/>
        <w:i w:val="0"/>
        <w:iCs w:val="0"/>
        <w:caps w:val="0"/>
        <w:smallCaps w:val="0"/>
        <w:strike w:val="0"/>
        <w:dstrike w:val="0"/>
        <w:noProof w:val="0"/>
        <w:vanish w:val="0"/>
        <w:color w:val="3F9C35" w:themeColor="accent2"/>
        <w:spacing w:val="0"/>
        <w:kern w:val="0"/>
        <w:position w:val="0"/>
        <w:sz w:val="3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1080"/>
        </w:tabs>
        <w:ind w:left="1080" w:hanging="1080"/>
      </w:pPr>
      <w:rPr>
        <w:rFonts w:ascii="Calibri" w:hAnsi="Calibri" w:cs="Georgia" w:hint="default"/>
        <w:b/>
        <w:i w:val="0"/>
        <w:color w:val="3F9C35" w:themeColor="accent2"/>
        <w:sz w:val="26"/>
        <w:szCs w:val="26"/>
      </w:rPr>
    </w:lvl>
    <w:lvl w:ilvl="3">
      <w:start w:val="1"/>
      <w:numFmt w:val="decimal"/>
      <w:pStyle w:val="Heading4"/>
      <w:lvlText w:val="%1.%2.%3.%4"/>
      <w:lvlJc w:val="left"/>
      <w:pPr>
        <w:tabs>
          <w:tab w:val="num" w:pos="1080"/>
        </w:tabs>
        <w:ind w:left="1080" w:hanging="1080"/>
      </w:pPr>
      <w:rPr>
        <w:rFonts w:ascii="Georgia" w:hAnsi="Georgia" w:cs="Georgia" w:hint="default"/>
        <w:b/>
        <w:i w:val="0"/>
        <w:sz w:val="22"/>
        <w:szCs w:val="22"/>
      </w:rPr>
    </w:lvl>
    <w:lvl w:ilvl="4">
      <w:start w:val="1"/>
      <w:numFmt w:val="decimal"/>
      <w:pStyle w:val="Heading5"/>
      <w:lvlText w:val="%1.%2.%3.%4.%5"/>
      <w:lvlJc w:val="left"/>
      <w:pPr>
        <w:tabs>
          <w:tab w:val="num" w:pos="1440"/>
        </w:tabs>
        <w:ind w:left="1080" w:hanging="1080"/>
      </w:pPr>
      <w:rPr>
        <w:rFonts w:ascii="Georgia" w:hAnsi="Georgia" w:hint="default"/>
        <w:b/>
        <w:i w:val="0"/>
        <w:sz w:val="22"/>
        <w:szCs w:val="22"/>
      </w:rPr>
    </w:lvl>
    <w:lvl w:ilvl="5">
      <w:start w:val="1"/>
      <w:numFmt w:val="decimal"/>
      <w:pStyle w:val="Heading6"/>
      <w:lvlText w:val="%1.%2.%3.%4.%5.%6"/>
      <w:lvlJc w:val="left"/>
      <w:pPr>
        <w:tabs>
          <w:tab w:val="num" w:pos="1800"/>
        </w:tabs>
        <w:ind w:left="2736" w:hanging="2736"/>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lvlRestart w:val="1"/>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nsid w:val="380D06AF"/>
    <w:multiLevelType w:val="multilevel"/>
    <w:tmpl w:val="DB9A2DB2"/>
    <w:lvl w:ilvl="0">
      <w:start w:val="1"/>
      <w:numFmt w:val="decimal"/>
      <w:pStyle w:val="List1"/>
      <w:lvlText w:val="%1."/>
      <w:lvlJc w:val="left"/>
      <w:pPr>
        <w:tabs>
          <w:tab w:val="num" w:pos="1440"/>
        </w:tabs>
        <w:ind w:left="720" w:hanging="360"/>
      </w:pPr>
      <w:rPr>
        <w:rFonts w:ascii="Times New Roman" w:hAnsi="Times New Roman" w:hint="default"/>
        <w:b w:val="0"/>
        <w:i w:val="0"/>
        <w:sz w:val="22"/>
        <w:szCs w:val="22"/>
        <w:u w:val="none"/>
      </w:rPr>
    </w:lvl>
    <w:lvl w:ilvl="1">
      <w:start w:val="1"/>
      <w:numFmt w:val="lowerLetter"/>
      <w:pStyle w:val="List2"/>
      <w:lvlText w:val="%2."/>
      <w:lvlJc w:val="left"/>
      <w:pPr>
        <w:ind w:left="1080" w:hanging="360"/>
      </w:pPr>
      <w:rPr>
        <w:rFonts w:ascii="Times New Roman" w:hAnsi="Times New Roman" w:hint="default"/>
        <w:b w:val="0"/>
        <w:i w:val="0"/>
        <w:color w:val="auto"/>
        <w:sz w:val="22"/>
      </w:rPr>
    </w:lvl>
    <w:lvl w:ilvl="2">
      <w:start w:val="1"/>
      <w:numFmt w:val="lowerRoman"/>
      <w:pStyle w:val="List3"/>
      <w:lvlText w:val="%3."/>
      <w:lvlJc w:val="left"/>
      <w:pPr>
        <w:tabs>
          <w:tab w:val="num" w:pos="2520"/>
        </w:tabs>
        <w:ind w:left="1440" w:hanging="360"/>
      </w:pPr>
      <w:rPr>
        <w:rFonts w:ascii="Times New Roman" w:hAnsi="Times New Roman" w:hint="default"/>
        <w:b w:val="0"/>
        <w:i w:val="0"/>
        <w:sz w:val="22"/>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2880"/>
        </w:tabs>
        <w:ind w:left="288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nsid w:val="3B480A0C"/>
    <w:multiLevelType w:val="hybridMultilevel"/>
    <w:tmpl w:val="08807D06"/>
    <w:lvl w:ilvl="0" w:tplc="78C6D64E">
      <w:start w:val="1"/>
      <w:numFmt w:val="bullet"/>
      <w:pStyle w:val="Bullet3"/>
      <w:lvlText w:val="•"/>
      <w:lvlJc w:val="left"/>
      <w:pPr>
        <w:ind w:left="1440" w:hanging="360"/>
      </w:pPr>
      <w:rPr>
        <w:rFonts w:ascii="Arial" w:hAnsi="Arial" w:hint="default"/>
        <w:color w:val="auto"/>
        <w:sz w:val="22"/>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4AD6660"/>
    <w:multiLevelType w:val="hybridMultilevel"/>
    <w:tmpl w:val="8146DDE4"/>
    <w:lvl w:ilvl="0" w:tplc="B36A6A18">
      <w:start w:val="1"/>
      <w:numFmt w:val="bullet"/>
      <w:pStyle w:val="Bullet2"/>
      <w:lvlText w:val="─"/>
      <w:lvlJc w:val="left"/>
      <w:pPr>
        <w:ind w:left="1440" w:hanging="360"/>
      </w:pPr>
      <w:rPr>
        <w:rFonts w:ascii="Times New Roman" w:hAnsi="Times New Roman" w:cs="Times New Roman" w:hint="default"/>
        <w:b/>
        <w:i w:val="0"/>
        <w:color w:val="auto"/>
        <w:sz w:val="20"/>
      </w:rPr>
    </w:lvl>
    <w:lvl w:ilvl="1" w:tplc="BD4EED46">
      <w:start w:val="1"/>
      <w:numFmt w:val="decimal"/>
      <w:lvlText w:val="%2)"/>
      <w:lvlJc w:val="left"/>
      <w:pPr>
        <w:tabs>
          <w:tab w:val="num" w:pos="1080"/>
        </w:tabs>
        <w:ind w:left="1080" w:hanging="360"/>
      </w:pPr>
      <w:rPr>
        <w:rFonts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nsid w:val="465D2366"/>
    <w:multiLevelType w:val="hybridMultilevel"/>
    <w:tmpl w:val="2D2A20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F761CAF"/>
    <w:multiLevelType w:val="multilevel"/>
    <w:tmpl w:val="6D84BF04"/>
    <w:lvl w:ilvl="0">
      <w:start w:val="1"/>
      <w:numFmt w:val="upperLetter"/>
      <w:pStyle w:val="Heading7"/>
      <w:lvlText w:val="%1."/>
      <w:lvlJc w:val="left"/>
      <w:pPr>
        <w:tabs>
          <w:tab w:val="num" w:pos="1080"/>
        </w:tabs>
        <w:ind w:left="1080" w:hanging="1080"/>
      </w:pPr>
      <w:rPr>
        <w:rFonts w:ascii="Georgia" w:hAnsi="Georgia" w:cs="Times New Roman" w:hint="default"/>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8"/>
      <w:lvlText w:val="%1.%2"/>
      <w:lvlJc w:val="left"/>
      <w:pPr>
        <w:tabs>
          <w:tab w:val="num" w:pos="1080"/>
        </w:tabs>
        <w:ind w:left="1080" w:hanging="1080"/>
      </w:pPr>
      <w:rPr>
        <w:rFonts w:ascii="Georgia" w:hAnsi="Georgia" w:cs="Georgia" w:hint="default"/>
        <w:b/>
        <w:i w:val="0"/>
        <w:sz w:val="30"/>
        <w:szCs w:val="30"/>
      </w:rPr>
    </w:lvl>
    <w:lvl w:ilvl="2">
      <w:start w:val="1"/>
      <w:numFmt w:val="decimal"/>
      <w:pStyle w:val="Heading9"/>
      <w:lvlText w:val="%1.%2.%3"/>
      <w:lvlJc w:val="left"/>
      <w:pPr>
        <w:tabs>
          <w:tab w:val="num" w:pos="1080"/>
        </w:tabs>
        <w:ind w:left="1080" w:hanging="1080"/>
      </w:pPr>
      <w:rPr>
        <w:rFonts w:ascii="Georgia" w:hAnsi="Georgia" w:hint="default"/>
        <w:b/>
        <w:i w:val="0"/>
        <w:sz w:val="26"/>
        <w:szCs w:val="26"/>
      </w:rPr>
    </w:lvl>
    <w:lvl w:ilvl="3">
      <w:start w:val="1"/>
      <w:numFmt w:val="decimal"/>
      <w:lvlText w:val="%1.%2.%3.%4"/>
      <w:lvlJc w:val="left"/>
      <w:pPr>
        <w:tabs>
          <w:tab w:val="num" w:pos="1080"/>
        </w:tabs>
        <w:ind w:left="1080" w:hanging="1080"/>
      </w:pPr>
      <w:rPr>
        <w:rFonts w:ascii="Arial" w:hAnsi="Arial" w:hint="default"/>
        <w:b/>
        <w:i w:val="0"/>
        <w:sz w:val="22"/>
        <w:szCs w:val="22"/>
      </w:rPr>
    </w:lvl>
    <w:lvl w:ilvl="4">
      <w:start w:val="1"/>
      <w:numFmt w:val="decimal"/>
      <w:lvlText w:val="%1.%2.%3.%4.%5"/>
      <w:lvlJc w:val="left"/>
      <w:pPr>
        <w:tabs>
          <w:tab w:val="num" w:pos="1440"/>
        </w:tabs>
        <w:ind w:left="1440" w:hanging="1440"/>
      </w:pPr>
      <w:rPr>
        <w:rFonts w:ascii="Arial" w:hAnsi="Arial" w:hint="default"/>
        <w:b/>
        <w:i w:val="0"/>
        <w:sz w:val="22"/>
        <w:szCs w:val="22"/>
      </w:rPr>
    </w:lvl>
    <w:lvl w:ilvl="5">
      <w:start w:val="1"/>
      <w:numFmt w:val="decimal"/>
      <w:lvlText w:val="%1.%2.%3.%4.%5.%6"/>
      <w:lvlJc w:val="left"/>
      <w:pPr>
        <w:tabs>
          <w:tab w:val="num" w:pos="1440"/>
        </w:tabs>
        <w:ind w:left="1440" w:hanging="1440"/>
      </w:pPr>
      <w:rPr>
        <w:rFonts w:ascii="Arial" w:hAnsi="Arial" w:hint="default"/>
        <w:b/>
        <w:i w:val="0"/>
        <w:sz w:val="22"/>
        <w:szCs w:val="22"/>
      </w:rPr>
    </w:lvl>
    <w:lvl w:ilvl="6">
      <w:start w:val="1"/>
      <w:numFmt w:val="decimal"/>
      <w:lvlText w:val="%1.%2.%3.%4.%5.%6.%7."/>
      <w:lvlJc w:val="left"/>
      <w:pPr>
        <w:tabs>
          <w:tab w:val="num" w:pos="3600"/>
        </w:tabs>
        <w:ind w:left="3240" w:hanging="3240"/>
      </w:pPr>
      <w:rPr>
        <w:rFonts w:hint="default"/>
      </w:rPr>
    </w:lvl>
    <w:lvl w:ilvl="7">
      <w:start w:val="1"/>
      <w:numFmt w:val="decimal"/>
      <w:lvlText w:val="%1.%2.%3.%4.%5.%6.%7.%8."/>
      <w:lvlJc w:val="left"/>
      <w:pPr>
        <w:tabs>
          <w:tab w:val="num" w:pos="3960"/>
        </w:tabs>
        <w:ind w:left="3744" w:hanging="3744"/>
      </w:pPr>
      <w:rPr>
        <w:rFonts w:hint="default"/>
      </w:rPr>
    </w:lvl>
    <w:lvl w:ilvl="8">
      <w:start w:val="1"/>
      <w:numFmt w:val="decimal"/>
      <w:lvlText w:val="%1.%2.%3.%4.%5.%6.%7.%8.%9."/>
      <w:lvlJc w:val="left"/>
      <w:pPr>
        <w:tabs>
          <w:tab w:val="num" w:pos="4680"/>
        </w:tabs>
        <w:ind w:left="4320" w:hanging="4320"/>
      </w:pPr>
      <w:rPr>
        <w:rFonts w:hint="default"/>
      </w:rPr>
    </w:lvl>
  </w:abstractNum>
  <w:abstractNum w:abstractNumId="23">
    <w:nsid w:val="56D321E9"/>
    <w:multiLevelType w:val="hybridMultilevel"/>
    <w:tmpl w:val="0AF83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9AD11F0"/>
    <w:multiLevelType w:val="hybridMultilevel"/>
    <w:tmpl w:val="A6B062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2881878"/>
    <w:multiLevelType w:val="multilevel"/>
    <w:tmpl w:val="67F0C0C4"/>
    <w:numStyleLink w:val="CnAListBullets"/>
  </w:abstractNum>
  <w:num w:numId="1">
    <w:abstractNumId w:val="17"/>
  </w:num>
  <w:num w:numId="2">
    <w:abstractNumId w:val="22"/>
  </w:num>
  <w:num w:numId="3">
    <w:abstractNumId w:val="9"/>
  </w:num>
  <w:num w:numId="4">
    <w:abstractNumId w:val="8"/>
  </w:num>
  <w:num w:numId="5">
    <w:abstractNumId w:val="7"/>
  </w:num>
  <w:num w:numId="6">
    <w:abstractNumId w:val="6"/>
  </w:num>
  <w:num w:numId="7">
    <w:abstractNumId w:val="5"/>
  </w:num>
  <w:num w:numId="8">
    <w:abstractNumId w:val="4"/>
  </w:num>
  <w:num w:numId="9">
    <w:abstractNumId w:val="3"/>
  </w:num>
  <w:num w:numId="10">
    <w:abstractNumId w:val="2"/>
  </w:num>
  <w:num w:numId="11">
    <w:abstractNumId w:val="1"/>
  </w:num>
  <w:num w:numId="12">
    <w:abstractNumId w:val="0"/>
  </w:num>
  <w:num w:numId="13">
    <w:abstractNumId w:val="18"/>
  </w:num>
  <w:num w:numId="14">
    <w:abstractNumId w:val="14"/>
  </w:num>
  <w:num w:numId="15">
    <w:abstractNumId w:val="20"/>
  </w:num>
  <w:num w:numId="16">
    <w:abstractNumId w:val="19"/>
  </w:num>
  <w:num w:numId="17">
    <w:abstractNumId w:val="10"/>
    <w:lvlOverride w:ilvl="0">
      <w:lvl w:ilvl="0">
        <w:start w:val="1"/>
        <w:numFmt w:val="bullet"/>
        <w:lvlText w:val="─"/>
        <w:lvlJc w:val="left"/>
        <w:pPr>
          <w:ind w:left="1080" w:hanging="360"/>
        </w:pPr>
        <w:rPr>
          <w:rFonts w:ascii="Times New Roman" w:hAnsi="Times New Roman" w:cs="Times New Roman" w:hint="default"/>
          <w:b/>
          <w:i w:val="0"/>
          <w:color w:val="auto"/>
          <w:sz w:val="20"/>
        </w:rPr>
      </w:lvl>
    </w:lvlOverride>
  </w:num>
  <w:num w:numId="18">
    <w:abstractNumId w:val="13"/>
  </w:num>
  <w:num w:numId="19">
    <w:abstractNumId w:val="24"/>
  </w:num>
  <w:num w:numId="20">
    <w:abstractNumId w:val="15"/>
  </w:num>
  <w:num w:numId="21">
    <w:abstractNumId w:val="12"/>
  </w:num>
  <w:num w:numId="22">
    <w:abstractNumId w:val="25"/>
  </w:num>
  <w:num w:numId="23">
    <w:abstractNumId w:val="16"/>
  </w:num>
  <w:num w:numId="24">
    <w:abstractNumId w:val="21"/>
  </w:num>
  <w:num w:numId="25">
    <w:abstractNumId w:val="23"/>
  </w:num>
  <w:num w:numId="26">
    <w:abstractNumId w:val="11"/>
  </w:num>
  <w:numIdMacAtCleanup w:val="16"/>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atherine Johnson">
    <w15:presenceInfo w15:providerId="Windows Live" w15:userId="34e31f7d8c4ce2a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DateAndTim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10"/>
  <w:displayHorizont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2AC5"/>
    <w:rsid w:val="00000A64"/>
    <w:rsid w:val="000046D7"/>
    <w:rsid w:val="000049CC"/>
    <w:rsid w:val="0001422D"/>
    <w:rsid w:val="000148D9"/>
    <w:rsid w:val="000167A2"/>
    <w:rsid w:val="000178C4"/>
    <w:rsid w:val="000200B3"/>
    <w:rsid w:val="00022453"/>
    <w:rsid w:val="00027093"/>
    <w:rsid w:val="00027AD2"/>
    <w:rsid w:val="00033013"/>
    <w:rsid w:val="000331EA"/>
    <w:rsid w:val="00036555"/>
    <w:rsid w:val="000403E3"/>
    <w:rsid w:val="0004276E"/>
    <w:rsid w:val="00043E73"/>
    <w:rsid w:val="0004458D"/>
    <w:rsid w:val="0005180E"/>
    <w:rsid w:val="0005366E"/>
    <w:rsid w:val="000577B3"/>
    <w:rsid w:val="00060AD2"/>
    <w:rsid w:val="00063A97"/>
    <w:rsid w:val="00063E14"/>
    <w:rsid w:val="000648DB"/>
    <w:rsid w:val="00064D9C"/>
    <w:rsid w:val="00065D6E"/>
    <w:rsid w:val="00066E58"/>
    <w:rsid w:val="00070261"/>
    <w:rsid w:val="00073FB9"/>
    <w:rsid w:val="000755FD"/>
    <w:rsid w:val="000766A4"/>
    <w:rsid w:val="00077660"/>
    <w:rsid w:val="000807AF"/>
    <w:rsid w:val="00085709"/>
    <w:rsid w:val="00086D01"/>
    <w:rsid w:val="00087BC6"/>
    <w:rsid w:val="00092E74"/>
    <w:rsid w:val="000A0E88"/>
    <w:rsid w:val="000A2D3D"/>
    <w:rsid w:val="000A30B1"/>
    <w:rsid w:val="000B14DD"/>
    <w:rsid w:val="000B1D76"/>
    <w:rsid w:val="000B28F0"/>
    <w:rsid w:val="000B3724"/>
    <w:rsid w:val="000B7463"/>
    <w:rsid w:val="000C2FC7"/>
    <w:rsid w:val="000C401F"/>
    <w:rsid w:val="000C48DE"/>
    <w:rsid w:val="000C567D"/>
    <w:rsid w:val="000E085A"/>
    <w:rsid w:val="000E2554"/>
    <w:rsid w:val="000E5EE8"/>
    <w:rsid w:val="000E6277"/>
    <w:rsid w:val="000F00A3"/>
    <w:rsid w:val="00102690"/>
    <w:rsid w:val="00106903"/>
    <w:rsid w:val="0011031B"/>
    <w:rsid w:val="00110333"/>
    <w:rsid w:val="001106FF"/>
    <w:rsid w:val="0011156B"/>
    <w:rsid w:val="001127AB"/>
    <w:rsid w:val="00140F17"/>
    <w:rsid w:val="00141B0E"/>
    <w:rsid w:val="00141FE2"/>
    <w:rsid w:val="001435E4"/>
    <w:rsid w:val="001437D7"/>
    <w:rsid w:val="001449EC"/>
    <w:rsid w:val="0015153D"/>
    <w:rsid w:val="00152544"/>
    <w:rsid w:val="00162F55"/>
    <w:rsid w:val="0016377F"/>
    <w:rsid w:val="0017682B"/>
    <w:rsid w:val="00183332"/>
    <w:rsid w:val="001856E0"/>
    <w:rsid w:val="00185BB1"/>
    <w:rsid w:val="001872CC"/>
    <w:rsid w:val="001904DD"/>
    <w:rsid w:val="00190557"/>
    <w:rsid w:val="001924E5"/>
    <w:rsid w:val="001A07A4"/>
    <w:rsid w:val="001A1256"/>
    <w:rsid w:val="001A12E1"/>
    <w:rsid w:val="001A2E30"/>
    <w:rsid w:val="001A3395"/>
    <w:rsid w:val="001B3305"/>
    <w:rsid w:val="001B747E"/>
    <w:rsid w:val="001C1631"/>
    <w:rsid w:val="001C72EF"/>
    <w:rsid w:val="001D079F"/>
    <w:rsid w:val="001E11B2"/>
    <w:rsid w:val="001E49D3"/>
    <w:rsid w:val="001E6341"/>
    <w:rsid w:val="001E6688"/>
    <w:rsid w:val="001F0DE9"/>
    <w:rsid w:val="001F485C"/>
    <w:rsid w:val="001F5A2A"/>
    <w:rsid w:val="001F5F25"/>
    <w:rsid w:val="00200409"/>
    <w:rsid w:val="00202ABB"/>
    <w:rsid w:val="00204BE1"/>
    <w:rsid w:val="00205415"/>
    <w:rsid w:val="00210C6F"/>
    <w:rsid w:val="002174B2"/>
    <w:rsid w:val="00223DEB"/>
    <w:rsid w:val="00224075"/>
    <w:rsid w:val="002251D5"/>
    <w:rsid w:val="002329AF"/>
    <w:rsid w:val="002333FE"/>
    <w:rsid w:val="002404A3"/>
    <w:rsid w:val="00240B94"/>
    <w:rsid w:val="002439A5"/>
    <w:rsid w:val="00246229"/>
    <w:rsid w:val="00251371"/>
    <w:rsid w:val="0025173C"/>
    <w:rsid w:val="00254D82"/>
    <w:rsid w:val="00262A50"/>
    <w:rsid w:val="0026333B"/>
    <w:rsid w:val="00267E53"/>
    <w:rsid w:val="00270915"/>
    <w:rsid w:val="00270C58"/>
    <w:rsid w:val="002716E4"/>
    <w:rsid w:val="00273047"/>
    <w:rsid w:val="0027362E"/>
    <w:rsid w:val="00275970"/>
    <w:rsid w:val="00275B71"/>
    <w:rsid w:val="002773F5"/>
    <w:rsid w:val="00282C3F"/>
    <w:rsid w:val="00283553"/>
    <w:rsid w:val="002837A9"/>
    <w:rsid w:val="00286713"/>
    <w:rsid w:val="002869BA"/>
    <w:rsid w:val="00290190"/>
    <w:rsid w:val="00292383"/>
    <w:rsid w:val="00294056"/>
    <w:rsid w:val="00294345"/>
    <w:rsid w:val="00296E84"/>
    <w:rsid w:val="0029769E"/>
    <w:rsid w:val="002A094D"/>
    <w:rsid w:val="002A20D6"/>
    <w:rsid w:val="002A4D56"/>
    <w:rsid w:val="002B0408"/>
    <w:rsid w:val="002B3517"/>
    <w:rsid w:val="002C1B61"/>
    <w:rsid w:val="002C5ABD"/>
    <w:rsid w:val="002D4568"/>
    <w:rsid w:val="002E7C23"/>
    <w:rsid w:val="002F0293"/>
    <w:rsid w:val="002F0E34"/>
    <w:rsid w:val="002F458E"/>
    <w:rsid w:val="002F458F"/>
    <w:rsid w:val="002F6434"/>
    <w:rsid w:val="002F691B"/>
    <w:rsid w:val="00302711"/>
    <w:rsid w:val="003038B9"/>
    <w:rsid w:val="00314A6A"/>
    <w:rsid w:val="00316E9F"/>
    <w:rsid w:val="003204E9"/>
    <w:rsid w:val="0032057D"/>
    <w:rsid w:val="00321CBC"/>
    <w:rsid w:val="0032471C"/>
    <w:rsid w:val="0033054F"/>
    <w:rsid w:val="003305CF"/>
    <w:rsid w:val="0034186E"/>
    <w:rsid w:val="003535A0"/>
    <w:rsid w:val="00353B9B"/>
    <w:rsid w:val="0036293C"/>
    <w:rsid w:val="0036326D"/>
    <w:rsid w:val="00363B83"/>
    <w:rsid w:val="00374A61"/>
    <w:rsid w:val="00376A88"/>
    <w:rsid w:val="00387E03"/>
    <w:rsid w:val="00394349"/>
    <w:rsid w:val="0039434E"/>
    <w:rsid w:val="003A04D2"/>
    <w:rsid w:val="003A541B"/>
    <w:rsid w:val="003A569F"/>
    <w:rsid w:val="003A57BF"/>
    <w:rsid w:val="003A7BCC"/>
    <w:rsid w:val="003B47AA"/>
    <w:rsid w:val="003B6DDD"/>
    <w:rsid w:val="003C40F6"/>
    <w:rsid w:val="003D1B9D"/>
    <w:rsid w:val="003D5467"/>
    <w:rsid w:val="003D6BEA"/>
    <w:rsid w:val="003E1351"/>
    <w:rsid w:val="003E1AA3"/>
    <w:rsid w:val="003E5879"/>
    <w:rsid w:val="003E5FF0"/>
    <w:rsid w:val="003F1E47"/>
    <w:rsid w:val="003F35F6"/>
    <w:rsid w:val="003F4F9E"/>
    <w:rsid w:val="003F76E8"/>
    <w:rsid w:val="0040059D"/>
    <w:rsid w:val="00404C95"/>
    <w:rsid w:val="00410843"/>
    <w:rsid w:val="004112A7"/>
    <w:rsid w:val="0041539B"/>
    <w:rsid w:val="00436D05"/>
    <w:rsid w:val="0043728C"/>
    <w:rsid w:val="00441F2D"/>
    <w:rsid w:val="004444FE"/>
    <w:rsid w:val="004539B8"/>
    <w:rsid w:val="0045589C"/>
    <w:rsid w:val="00456E78"/>
    <w:rsid w:val="004577CE"/>
    <w:rsid w:val="00457F2C"/>
    <w:rsid w:val="00460C2E"/>
    <w:rsid w:val="004662EE"/>
    <w:rsid w:val="004711A6"/>
    <w:rsid w:val="0047123A"/>
    <w:rsid w:val="004734C3"/>
    <w:rsid w:val="004740FE"/>
    <w:rsid w:val="00475265"/>
    <w:rsid w:val="00475BC9"/>
    <w:rsid w:val="00481BD9"/>
    <w:rsid w:val="00482366"/>
    <w:rsid w:val="00482AC5"/>
    <w:rsid w:val="00487761"/>
    <w:rsid w:val="00487C08"/>
    <w:rsid w:val="00487D85"/>
    <w:rsid w:val="004935B6"/>
    <w:rsid w:val="00493A21"/>
    <w:rsid w:val="00495021"/>
    <w:rsid w:val="00496223"/>
    <w:rsid w:val="004978EB"/>
    <w:rsid w:val="004A2E51"/>
    <w:rsid w:val="004A5EA0"/>
    <w:rsid w:val="004A6B90"/>
    <w:rsid w:val="004A7210"/>
    <w:rsid w:val="004B0B12"/>
    <w:rsid w:val="004B255C"/>
    <w:rsid w:val="004B383B"/>
    <w:rsid w:val="004B516C"/>
    <w:rsid w:val="004C02EE"/>
    <w:rsid w:val="004C1C57"/>
    <w:rsid w:val="004C2873"/>
    <w:rsid w:val="004D3940"/>
    <w:rsid w:val="004D6E18"/>
    <w:rsid w:val="004E0020"/>
    <w:rsid w:val="004E1EF6"/>
    <w:rsid w:val="004E6050"/>
    <w:rsid w:val="00501847"/>
    <w:rsid w:val="0050356F"/>
    <w:rsid w:val="00504108"/>
    <w:rsid w:val="00504BF8"/>
    <w:rsid w:val="00505FBE"/>
    <w:rsid w:val="00506600"/>
    <w:rsid w:val="005171E4"/>
    <w:rsid w:val="00525902"/>
    <w:rsid w:val="00525BCB"/>
    <w:rsid w:val="0053235D"/>
    <w:rsid w:val="00534C02"/>
    <w:rsid w:val="005402E3"/>
    <w:rsid w:val="00541507"/>
    <w:rsid w:val="00541D21"/>
    <w:rsid w:val="005450EF"/>
    <w:rsid w:val="005509F7"/>
    <w:rsid w:val="005527D4"/>
    <w:rsid w:val="00552E9D"/>
    <w:rsid w:val="00555195"/>
    <w:rsid w:val="00556B0E"/>
    <w:rsid w:val="00557062"/>
    <w:rsid w:val="00567E65"/>
    <w:rsid w:val="00567E98"/>
    <w:rsid w:val="00571F22"/>
    <w:rsid w:val="005731CD"/>
    <w:rsid w:val="00575B9F"/>
    <w:rsid w:val="00576380"/>
    <w:rsid w:val="00577B1E"/>
    <w:rsid w:val="00582067"/>
    <w:rsid w:val="00582844"/>
    <w:rsid w:val="005876C0"/>
    <w:rsid w:val="00590C3A"/>
    <w:rsid w:val="00593327"/>
    <w:rsid w:val="00594578"/>
    <w:rsid w:val="00595885"/>
    <w:rsid w:val="00595A28"/>
    <w:rsid w:val="00595CF5"/>
    <w:rsid w:val="005A3DA4"/>
    <w:rsid w:val="005A6BBA"/>
    <w:rsid w:val="005B2536"/>
    <w:rsid w:val="005B39F9"/>
    <w:rsid w:val="005B4666"/>
    <w:rsid w:val="005B70A7"/>
    <w:rsid w:val="005C44C8"/>
    <w:rsid w:val="005C6654"/>
    <w:rsid w:val="005C728E"/>
    <w:rsid w:val="005D0224"/>
    <w:rsid w:val="005D3AAC"/>
    <w:rsid w:val="005D3CCA"/>
    <w:rsid w:val="005D6816"/>
    <w:rsid w:val="005E07FA"/>
    <w:rsid w:val="005E1016"/>
    <w:rsid w:val="005E1A47"/>
    <w:rsid w:val="005F5A83"/>
    <w:rsid w:val="0060173C"/>
    <w:rsid w:val="006064F8"/>
    <w:rsid w:val="00611941"/>
    <w:rsid w:val="00611F0F"/>
    <w:rsid w:val="00613483"/>
    <w:rsid w:val="00616049"/>
    <w:rsid w:val="0061654B"/>
    <w:rsid w:val="00616954"/>
    <w:rsid w:val="0062029D"/>
    <w:rsid w:val="006208ED"/>
    <w:rsid w:val="0062428B"/>
    <w:rsid w:val="00624724"/>
    <w:rsid w:val="006248E3"/>
    <w:rsid w:val="0062584F"/>
    <w:rsid w:val="00625903"/>
    <w:rsid w:val="00630EC1"/>
    <w:rsid w:val="006345F6"/>
    <w:rsid w:val="006556C6"/>
    <w:rsid w:val="00655F87"/>
    <w:rsid w:val="006609B9"/>
    <w:rsid w:val="00665F5F"/>
    <w:rsid w:val="006675AB"/>
    <w:rsid w:val="006676BF"/>
    <w:rsid w:val="00672B2F"/>
    <w:rsid w:val="00677B23"/>
    <w:rsid w:val="00677BF1"/>
    <w:rsid w:val="006855FF"/>
    <w:rsid w:val="00687CA3"/>
    <w:rsid w:val="00693168"/>
    <w:rsid w:val="00697961"/>
    <w:rsid w:val="00697BD7"/>
    <w:rsid w:val="006A16E2"/>
    <w:rsid w:val="006A2EEF"/>
    <w:rsid w:val="006A620B"/>
    <w:rsid w:val="006A7F25"/>
    <w:rsid w:val="006B3557"/>
    <w:rsid w:val="006B3964"/>
    <w:rsid w:val="006B4F84"/>
    <w:rsid w:val="006C6163"/>
    <w:rsid w:val="006C77A7"/>
    <w:rsid w:val="006D3846"/>
    <w:rsid w:val="006D6328"/>
    <w:rsid w:val="006D6FF5"/>
    <w:rsid w:val="006E0556"/>
    <w:rsid w:val="006F7A88"/>
    <w:rsid w:val="007010D0"/>
    <w:rsid w:val="007024A6"/>
    <w:rsid w:val="00702684"/>
    <w:rsid w:val="00702F05"/>
    <w:rsid w:val="007040DF"/>
    <w:rsid w:val="00705B21"/>
    <w:rsid w:val="007115FE"/>
    <w:rsid w:val="007161EC"/>
    <w:rsid w:val="00717B58"/>
    <w:rsid w:val="007230EC"/>
    <w:rsid w:val="00724774"/>
    <w:rsid w:val="0073092C"/>
    <w:rsid w:val="00730B01"/>
    <w:rsid w:val="00731C02"/>
    <w:rsid w:val="00740274"/>
    <w:rsid w:val="0074081D"/>
    <w:rsid w:val="00746548"/>
    <w:rsid w:val="00747268"/>
    <w:rsid w:val="00760698"/>
    <w:rsid w:val="0076310C"/>
    <w:rsid w:val="007678D0"/>
    <w:rsid w:val="007742B1"/>
    <w:rsid w:val="0077585F"/>
    <w:rsid w:val="0078022D"/>
    <w:rsid w:val="007861C9"/>
    <w:rsid w:val="00793A38"/>
    <w:rsid w:val="00793B7D"/>
    <w:rsid w:val="00793DC0"/>
    <w:rsid w:val="007A3D5C"/>
    <w:rsid w:val="007A4127"/>
    <w:rsid w:val="007A56C3"/>
    <w:rsid w:val="007A7E57"/>
    <w:rsid w:val="007B1D2D"/>
    <w:rsid w:val="007B2E52"/>
    <w:rsid w:val="007B3E08"/>
    <w:rsid w:val="007B6B39"/>
    <w:rsid w:val="007B7EF4"/>
    <w:rsid w:val="007C3ED4"/>
    <w:rsid w:val="007D096C"/>
    <w:rsid w:val="007D2B47"/>
    <w:rsid w:val="007D3FC6"/>
    <w:rsid w:val="007D6668"/>
    <w:rsid w:val="007E0AE5"/>
    <w:rsid w:val="007F012D"/>
    <w:rsid w:val="007F1FDF"/>
    <w:rsid w:val="007F2F50"/>
    <w:rsid w:val="007F3894"/>
    <w:rsid w:val="007F50B3"/>
    <w:rsid w:val="007F6A78"/>
    <w:rsid w:val="00801E9B"/>
    <w:rsid w:val="00803443"/>
    <w:rsid w:val="00803B37"/>
    <w:rsid w:val="008068AB"/>
    <w:rsid w:val="00812334"/>
    <w:rsid w:val="00812D62"/>
    <w:rsid w:val="00825D7F"/>
    <w:rsid w:val="0083398F"/>
    <w:rsid w:val="008349D9"/>
    <w:rsid w:val="0083624A"/>
    <w:rsid w:val="00841752"/>
    <w:rsid w:val="00843DF9"/>
    <w:rsid w:val="00846F5A"/>
    <w:rsid w:val="008473C4"/>
    <w:rsid w:val="00864421"/>
    <w:rsid w:val="00865390"/>
    <w:rsid w:val="0086700D"/>
    <w:rsid w:val="00872BB7"/>
    <w:rsid w:val="00874D18"/>
    <w:rsid w:val="00876FFE"/>
    <w:rsid w:val="008844DB"/>
    <w:rsid w:val="0088533A"/>
    <w:rsid w:val="00886BD9"/>
    <w:rsid w:val="008919E9"/>
    <w:rsid w:val="00893272"/>
    <w:rsid w:val="008A3699"/>
    <w:rsid w:val="008B05FB"/>
    <w:rsid w:val="008C1809"/>
    <w:rsid w:val="008C5BB5"/>
    <w:rsid w:val="008C672F"/>
    <w:rsid w:val="008D21C5"/>
    <w:rsid w:val="008E413A"/>
    <w:rsid w:val="008E6765"/>
    <w:rsid w:val="008F177D"/>
    <w:rsid w:val="008F294F"/>
    <w:rsid w:val="008F6584"/>
    <w:rsid w:val="008F6AF4"/>
    <w:rsid w:val="008F7973"/>
    <w:rsid w:val="00902DEE"/>
    <w:rsid w:val="0091020E"/>
    <w:rsid w:val="00911FE1"/>
    <w:rsid w:val="00914141"/>
    <w:rsid w:val="00926959"/>
    <w:rsid w:val="00927005"/>
    <w:rsid w:val="00933580"/>
    <w:rsid w:val="00934817"/>
    <w:rsid w:val="00934A3B"/>
    <w:rsid w:val="009446E9"/>
    <w:rsid w:val="0094487D"/>
    <w:rsid w:val="009514B0"/>
    <w:rsid w:val="009526A2"/>
    <w:rsid w:val="00953C6A"/>
    <w:rsid w:val="00960FDA"/>
    <w:rsid w:val="0096174A"/>
    <w:rsid w:val="009626D7"/>
    <w:rsid w:val="00965C3C"/>
    <w:rsid w:val="009663C0"/>
    <w:rsid w:val="00967E96"/>
    <w:rsid w:val="009736BE"/>
    <w:rsid w:val="00975073"/>
    <w:rsid w:val="00993EAE"/>
    <w:rsid w:val="009A1298"/>
    <w:rsid w:val="009A5418"/>
    <w:rsid w:val="009A763F"/>
    <w:rsid w:val="009B11EB"/>
    <w:rsid w:val="009B31BA"/>
    <w:rsid w:val="009B6F75"/>
    <w:rsid w:val="009B7740"/>
    <w:rsid w:val="009C16B4"/>
    <w:rsid w:val="009C7F26"/>
    <w:rsid w:val="009D202F"/>
    <w:rsid w:val="009E02A7"/>
    <w:rsid w:val="009E454F"/>
    <w:rsid w:val="009E787C"/>
    <w:rsid w:val="009F532E"/>
    <w:rsid w:val="009F6767"/>
    <w:rsid w:val="009F6FD0"/>
    <w:rsid w:val="00A01C92"/>
    <w:rsid w:val="00A024E9"/>
    <w:rsid w:val="00A03C5B"/>
    <w:rsid w:val="00A12F7D"/>
    <w:rsid w:val="00A16584"/>
    <w:rsid w:val="00A25223"/>
    <w:rsid w:val="00A26007"/>
    <w:rsid w:val="00A356CC"/>
    <w:rsid w:val="00A378FE"/>
    <w:rsid w:val="00A44CFC"/>
    <w:rsid w:val="00A50CB9"/>
    <w:rsid w:val="00A53BDA"/>
    <w:rsid w:val="00A53E5B"/>
    <w:rsid w:val="00A55112"/>
    <w:rsid w:val="00A60CA9"/>
    <w:rsid w:val="00A64B46"/>
    <w:rsid w:val="00A66235"/>
    <w:rsid w:val="00A73AD5"/>
    <w:rsid w:val="00A77069"/>
    <w:rsid w:val="00A82EEE"/>
    <w:rsid w:val="00A857F6"/>
    <w:rsid w:val="00A86ABD"/>
    <w:rsid w:val="00A87BA8"/>
    <w:rsid w:val="00A90631"/>
    <w:rsid w:val="00A91B17"/>
    <w:rsid w:val="00A94819"/>
    <w:rsid w:val="00AA4D92"/>
    <w:rsid w:val="00AA5066"/>
    <w:rsid w:val="00AA54D2"/>
    <w:rsid w:val="00AB76FB"/>
    <w:rsid w:val="00AE5E25"/>
    <w:rsid w:val="00AE6CBF"/>
    <w:rsid w:val="00AE6E7A"/>
    <w:rsid w:val="00AF0549"/>
    <w:rsid w:val="00AF5B21"/>
    <w:rsid w:val="00AF5EBC"/>
    <w:rsid w:val="00AF6680"/>
    <w:rsid w:val="00B06D38"/>
    <w:rsid w:val="00B112E3"/>
    <w:rsid w:val="00B153FE"/>
    <w:rsid w:val="00B17148"/>
    <w:rsid w:val="00B23FE7"/>
    <w:rsid w:val="00B26546"/>
    <w:rsid w:val="00B26B2A"/>
    <w:rsid w:val="00B33CCB"/>
    <w:rsid w:val="00B34CEE"/>
    <w:rsid w:val="00B36729"/>
    <w:rsid w:val="00B4122D"/>
    <w:rsid w:val="00B41479"/>
    <w:rsid w:val="00B47730"/>
    <w:rsid w:val="00B5064E"/>
    <w:rsid w:val="00B534F9"/>
    <w:rsid w:val="00B70FC5"/>
    <w:rsid w:val="00B722A4"/>
    <w:rsid w:val="00B74140"/>
    <w:rsid w:val="00B7625A"/>
    <w:rsid w:val="00B77BAA"/>
    <w:rsid w:val="00B8170A"/>
    <w:rsid w:val="00B8662F"/>
    <w:rsid w:val="00B93DFB"/>
    <w:rsid w:val="00B94067"/>
    <w:rsid w:val="00B94BFC"/>
    <w:rsid w:val="00BA2060"/>
    <w:rsid w:val="00BA29F7"/>
    <w:rsid w:val="00BA574B"/>
    <w:rsid w:val="00BA7DEC"/>
    <w:rsid w:val="00BB00E6"/>
    <w:rsid w:val="00BB0FF2"/>
    <w:rsid w:val="00BB572C"/>
    <w:rsid w:val="00BB5D4B"/>
    <w:rsid w:val="00BC03A4"/>
    <w:rsid w:val="00BC18B2"/>
    <w:rsid w:val="00BC4F07"/>
    <w:rsid w:val="00BD129B"/>
    <w:rsid w:val="00BD295B"/>
    <w:rsid w:val="00BD4FE3"/>
    <w:rsid w:val="00BD7055"/>
    <w:rsid w:val="00BD7ED7"/>
    <w:rsid w:val="00BE5B9D"/>
    <w:rsid w:val="00BF2363"/>
    <w:rsid w:val="00BF3D3E"/>
    <w:rsid w:val="00BF729B"/>
    <w:rsid w:val="00C01813"/>
    <w:rsid w:val="00C069EB"/>
    <w:rsid w:val="00C1189C"/>
    <w:rsid w:val="00C14160"/>
    <w:rsid w:val="00C1575C"/>
    <w:rsid w:val="00C15835"/>
    <w:rsid w:val="00C203BB"/>
    <w:rsid w:val="00C2151A"/>
    <w:rsid w:val="00C21770"/>
    <w:rsid w:val="00C260F1"/>
    <w:rsid w:val="00C2614F"/>
    <w:rsid w:val="00C346B6"/>
    <w:rsid w:val="00C42B4A"/>
    <w:rsid w:val="00C43FA9"/>
    <w:rsid w:val="00C453D1"/>
    <w:rsid w:val="00C45666"/>
    <w:rsid w:val="00C46D85"/>
    <w:rsid w:val="00C46F62"/>
    <w:rsid w:val="00C510F5"/>
    <w:rsid w:val="00C520FB"/>
    <w:rsid w:val="00C52279"/>
    <w:rsid w:val="00C55F21"/>
    <w:rsid w:val="00C57179"/>
    <w:rsid w:val="00C57D80"/>
    <w:rsid w:val="00C636A5"/>
    <w:rsid w:val="00C70594"/>
    <w:rsid w:val="00C71020"/>
    <w:rsid w:val="00C716D1"/>
    <w:rsid w:val="00C7694C"/>
    <w:rsid w:val="00C83DCC"/>
    <w:rsid w:val="00C85202"/>
    <w:rsid w:val="00C966B6"/>
    <w:rsid w:val="00CA05EB"/>
    <w:rsid w:val="00CA261E"/>
    <w:rsid w:val="00CA2C32"/>
    <w:rsid w:val="00CA6339"/>
    <w:rsid w:val="00CB1717"/>
    <w:rsid w:val="00CB23A8"/>
    <w:rsid w:val="00CB3BA7"/>
    <w:rsid w:val="00CB54E6"/>
    <w:rsid w:val="00CD2F50"/>
    <w:rsid w:val="00CE5F9F"/>
    <w:rsid w:val="00CE7197"/>
    <w:rsid w:val="00CE7C58"/>
    <w:rsid w:val="00CE7DCA"/>
    <w:rsid w:val="00CF142D"/>
    <w:rsid w:val="00CF25AA"/>
    <w:rsid w:val="00CF6D21"/>
    <w:rsid w:val="00D073FB"/>
    <w:rsid w:val="00D110C0"/>
    <w:rsid w:val="00D11C52"/>
    <w:rsid w:val="00D12EFD"/>
    <w:rsid w:val="00D14C5A"/>
    <w:rsid w:val="00D2019B"/>
    <w:rsid w:val="00D26AF7"/>
    <w:rsid w:val="00D337F7"/>
    <w:rsid w:val="00D33D58"/>
    <w:rsid w:val="00D35F4D"/>
    <w:rsid w:val="00D36CA3"/>
    <w:rsid w:val="00D55A88"/>
    <w:rsid w:val="00D61DD5"/>
    <w:rsid w:val="00D65B39"/>
    <w:rsid w:val="00D6771F"/>
    <w:rsid w:val="00D76684"/>
    <w:rsid w:val="00D77F0A"/>
    <w:rsid w:val="00D81494"/>
    <w:rsid w:val="00D84BB7"/>
    <w:rsid w:val="00D91FA1"/>
    <w:rsid w:val="00DA0D9C"/>
    <w:rsid w:val="00DA1885"/>
    <w:rsid w:val="00DA61D2"/>
    <w:rsid w:val="00DB73F4"/>
    <w:rsid w:val="00DC343E"/>
    <w:rsid w:val="00DF0001"/>
    <w:rsid w:val="00DF332E"/>
    <w:rsid w:val="00DF68D7"/>
    <w:rsid w:val="00DF7E5A"/>
    <w:rsid w:val="00E01381"/>
    <w:rsid w:val="00E013C7"/>
    <w:rsid w:val="00E04B62"/>
    <w:rsid w:val="00E0620A"/>
    <w:rsid w:val="00E1105E"/>
    <w:rsid w:val="00E12EA9"/>
    <w:rsid w:val="00E13724"/>
    <w:rsid w:val="00E13A6D"/>
    <w:rsid w:val="00E16C79"/>
    <w:rsid w:val="00E20469"/>
    <w:rsid w:val="00E210E4"/>
    <w:rsid w:val="00E307BC"/>
    <w:rsid w:val="00E31612"/>
    <w:rsid w:val="00E32AF2"/>
    <w:rsid w:val="00E32B2A"/>
    <w:rsid w:val="00E358E7"/>
    <w:rsid w:val="00E377E5"/>
    <w:rsid w:val="00E37ECB"/>
    <w:rsid w:val="00E37F49"/>
    <w:rsid w:val="00E43CD3"/>
    <w:rsid w:val="00E52170"/>
    <w:rsid w:val="00E54F54"/>
    <w:rsid w:val="00E566C0"/>
    <w:rsid w:val="00E57C8D"/>
    <w:rsid w:val="00E61156"/>
    <w:rsid w:val="00E623CE"/>
    <w:rsid w:val="00E67AA0"/>
    <w:rsid w:val="00E72B30"/>
    <w:rsid w:val="00E732FC"/>
    <w:rsid w:val="00E751BB"/>
    <w:rsid w:val="00E755FA"/>
    <w:rsid w:val="00E80748"/>
    <w:rsid w:val="00E81867"/>
    <w:rsid w:val="00E85376"/>
    <w:rsid w:val="00E8632B"/>
    <w:rsid w:val="00E9006F"/>
    <w:rsid w:val="00E92C35"/>
    <w:rsid w:val="00E9458A"/>
    <w:rsid w:val="00E94F1D"/>
    <w:rsid w:val="00E963D5"/>
    <w:rsid w:val="00EA0C90"/>
    <w:rsid w:val="00EA3731"/>
    <w:rsid w:val="00EA5E92"/>
    <w:rsid w:val="00EA7BC7"/>
    <w:rsid w:val="00EB26A2"/>
    <w:rsid w:val="00EB2CF6"/>
    <w:rsid w:val="00EB4691"/>
    <w:rsid w:val="00EB4D88"/>
    <w:rsid w:val="00EB55E6"/>
    <w:rsid w:val="00EC053E"/>
    <w:rsid w:val="00EC1573"/>
    <w:rsid w:val="00ED5968"/>
    <w:rsid w:val="00EE616A"/>
    <w:rsid w:val="00EE6E87"/>
    <w:rsid w:val="00EF50C4"/>
    <w:rsid w:val="00F014AA"/>
    <w:rsid w:val="00F02037"/>
    <w:rsid w:val="00F04B82"/>
    <w:rsid w:val="00F060F6"/>
    <w:rsid w:val="00F17EC4"/>
    <w:rsid w:val="00F346F8"/>
    <w:rsid w:val="00F4448C"/>
    <w:rsid w:val="00F524B3"/>
    <w:rsid w:val="00F61639"/>
    <w:rsid w:val="00F74897"/>
    <w:rsid w:val="00F84411"/>
    <w:rsid w:val="00F856D7"/>
    <w:rsid w:val="00F862DB"/>
    <w:rsid w:val="00F900A0"/>
    <w:rsid w:val="00F90CD2"/>
    <w:rsid w:val="00F95A86"/>
    <w:rsid w:val="00FA105C"/>
    <w:rsid w:val="00FA44FC"/>
    <w:rsid w:val="00FB38C6"/>
    <w:rsid w:val="00FC3FB9"/>
    <w:rsid w:val="00FC5DB1"/>
    <w:rsid w:val="00FD3A1E"/>
    <w:rsid w:val="00FD4F90"/>
    <w:rsid w:val="00FD4FF2"/>
    <w:rsid w:val="00FD5D16"/>
    <w:rsid w:val="00FE0010"/>
    <w:rsid w:val="00FF05E9"/>
    <w:rsid w:val="00FF13B2"/>
    <w:rsid w:val="00FF367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EFF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eorgia" w:eastAsia="Times New Roman" w:hAnsi="Georgia" w:cs="Times New Roman"/>
        <w:sz w:val="22"/>
        <w:szCs w:val="22"/>
        <w:lang w:val="en-US" w:eastAsia="en-US" w:bidi="ar-SA"/>
      </w:rPr>
    </w:rPrDefault>
    <w:pPrDefault>
      <w:pPr>
        <w:spacing w:line="288" w:lineRule="auto"/>
      </w:pPr>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lsdException w:name="heading 4" w:semiHidden="0" w:unhideWhenUsed="0"/>
    <w:lsdException w:name="heading 5" w:semiHidden="0" w:unhideWhenUsed="0"/>
    <w:lsdException w:name="heading 6" w:semiHidden="0" w:unhideWhenUsed="0"/>
    <w:lsdException w:name="heading 7" w:qFormat="1"/>
    <w:lsdException w:name="toc 1" w:uiPriority="39"/>
    <w:lsdException w:name="toc 2" w:uiPriority="39"/>
    <w:lsdException w:name="toc 3" w:uiPriority="39"/>
    <w:lsdException w:name="footnote text" w:uiPriority="99"/>
    <w:lsdException w:name="header" w:uiPriority="99"/>
    <w:lsdException w:name="footer" w:uiPriority="99" w:qFormat="1"/>
    <w:lsdException w:name="caption" w:qFormat="1"/>
    <w:lsdException w:name="table of figures" w:uiPriority="99"/>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Body Text" w:uiPriority="1" w:qFormat="1"/>
    <w:lsdException w:name="Subtitle" w:semiHidden="0" w:unhideWhenUsed="0"/>
    <w:lsdException w:name="Date" w:semiHidden="0" w:unhideWhenUsed="0"/>
    <w:lsdException w:name="Body Text First Indent" w:unhideWhenUsed="0"/>
    <w:lsdException w:name="Hyperlink" w:uiPriority="99"/>
    <w:lsdException w:name="Strong" w:semiHidden="0" w:unhideWhenUsed="0"/>
    <w:lsdException w:name="Emphasis" w:semiHidden="0" w:unhideWhenUsed="0"/>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378FE"/>
    <w:rPr>
      <w:rFonts w:ascii="Calibri" w:hAnsi="Calibri"/>
    </w:rPr>
  </w:style>
  <w:style w:type="paragraph" w:styleId="Heading1">
    <w:name w:val="heading 1"/>
    <w:basedOn w:val="Normal"/>
    <w:next w:val="ParaText"/>
    <w:qFormat/>
    <w:rsid w:val="00BD4FE3"/>
    <w:pPr>
      <w:keepNext/>
      <w:numPr>
        <w:numId w:val="1"/>
      </w:numPr>
      <w:spacing w:before="240" w:after="120"/>
      <w:outlineLvl w:val="0"/>
    </w:pPr>
    <w:rPr>
      <w:b/>
      <w:color w:val="3F9C35" w:themeColor="accent2"/>
      <w:kern w:val="28"/>
      <w:sz w:val="34"/>
      <w:szCs w:val="34"/>
    </w:rPr>
  </w:style>
  <w:style w:type="paragraph" w:styleId="Heading2">
    <w:name w:val="heading 2"/>
    <w:basedOn w:val="Normal"/>
    <w:next w:val="ParaText"/>
    <w:qFormat/>
    <w:rsid w:val="00BD4FE3"/>
    <w:pPr>
      <w:keepNext/>
      <w:numPr>
        <w:ilvl w:val="1"/>
        <w:numId w:val="1"/>
      </w:numPr>
      <w:spacing w:before="240" w:after="120"/>
      <w:outlineLvl w:val="1"/>
    </w:pPr>
    <w:rPr>
      <w:b/>
      <w:color w:val="3F9C35" w:themeColor="accent2"/>
      <w:sz w:val="30"/>
      <w:szCs w:val="30"/>
    </w:rPr>
  </w:style>
  <w:style w:type="paragraph" w:styleId="Heading3">
    <w:name w:val="heading 3"/>
    <w:basedOn w:val="Normal"/>
    <w:next w:val="ParaText"/>
    <w:rsid w:val="00BD4FE3"/>
    <w:pPr>
      <w:keepNext/>
      <w:numPr>
        <w:ilvl w:val="2"/>
        <w:numId w:val="1"/>
      </w:numPr>
      <w:spacing w:before="240"/>
      <w:outlineLvl w:val="2"/>
    </w:pPr>
    <w:rPr>
      <w:b/>
      <w:color w:val="3F9C35" w:themeColor="accent2"/>
      <w:sz w:val="26"/>
      <w:szCs w:val="26"/>
    </w:rPr>
  </w:style>
  <w:style w:type="paragraph" w:styleId="Heading4">
    <w:name w:val="heading 4"/>
    <w:basedOn w:val="Normal"/>
    <w:next w:val="ParaText"/>
    <w:rsid w:val="00BD4FE3"/>
    <w:pPr>
      <w:keepNext/>
      <w:numPr>
        <w:ilvl w:val="3"/>
        <w:numId w:val="1"/>
      </w:numPr>
      <w:spacing w:before="240"/>
      <w:outlineLvl w:val="3"/>
    </w:pPr>
    <w:rPr>
      <w:b/>
      <w:color w:val="3F9C35" w:themeColor="accent2"/>
    </w:rPr>
  </w:style>
  <w:style w:type="paragraph" w:styleId="Heading5">
    <w:name w:val="heading 5"/>
    <w:basedOn w:val="Normal"/>
    <w:next w:val="ParaText"/>
    <w:rsid w:val="00BD4FE3"/>
    <w:pPr>
      <w:numPr>
        <w:ilvl w:val="4"/>
        <w:numId w:val="1"/>
      </w:numPr>
      <w:spacing w:before="240"/>
      <w:outlineLvl w:val="4"/>
    </w:pPr>
    <w:rPr>
      <w:b/>
      <w:color w:val="3F9C35" w:themeColor="accent2"/>
    </w:rPr>
  </w:style>
  <w:style w:type="paragraph" w:styleId="Heading6">
    <w:name w:val="heading 6"/>
    <w:basedOn w:val="Normal"/>
    <w:next w:val="ParaText"/>
    <w:semiHidden/>
    <w:rsid w:val="00460C2E"/>
    <w:pPr>
      <w:numPr>
        <w:ilvl w:val="5"/>
        <w:numId w:val="1"/>
      </w:numPr>
      <w:spacing w:after="240"/>
      <w:outlineLvl w:val="5"/>
    </w:pPr>
    <w:rPr>
      <w:b/>
    </w:rPr>
  </w:style>
  <w:style w:type="paragraph" w:styleId="Heading7">
    <w:name w:val="heading 7"/>
    <w:basedOn w:val="Normal"/>
    <w:next w:val="ParaText"/>
    <w:qFormat/>
    <w:rsid w:val="000B1D76"/>
    <w:pPr>
      <w:keepNext/>
      <w:numPr>
        <w:numId w:val="2"/>
      </w:numPr>
      <w:spacing w:before="240" w:after="120"/>
      <w:outlineLvl w:val="6"/>
    </w:pPr>
    <w:rPr>
      <w:b/>
      <w:color w:val="3F9C35" w:themeColor="accent2"/>
      <w:kern w:val="28"/>
      <w:sz w:val="34"/>
      <w:szCs w:val="34"/>
    </w:rPr>
  </w:style>
  <w:style w:type="paragraph" w:styleId="Heading8">
    <w:name w:val="heading 8"/>
    <w:basedOn w:val="Normal"/>
    <w:next w:val="ParaText"/>
    <w:rsid w:val="000B1D76"/>
    <w:pPr>
      <w:keepNext/>
      <w:numPr>
        <w:ilvl w:val="1"/>
        <w:numId w:val="2"/>
      </w:numPr>
      <w:spacing w:before="240" w:after="120"/>
      <w:outlineLvl w:val="7"/>
    </w:pPr>
    <w:rPr>
      <w:b/>
      <w:color w:val="3F9C35" w:themeColor="accent2"/>
      <w:sz w:val="30"/>
      <w:szCs w:val="30"/>
    </w:rPr>
  </w:style>
  <w:style w:type="paragraph" w:styleId="Heading9">
    <w:name w:val="heading 9"/>
    <w:basedOn w:val="Normal"/>
    <w:next w:val="ParaText"/>
    <w:rsid w:val="000B1D76"/>
    <w:pPr>
      <w:keepNext/>
      <w:numPr>
        <w:ilvl w:val="2"/>
        <w:numId w:val="2"/>
      </w:numPr>
      <w:spacing w:before="240"/>
      <w:outlineLvl w:val="8"/>
    </w:pPr>
    <w:rPr>
      <w:b/>
      <w:color w:val="3F9C35" w:themeColor="accent2"/>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Text">
    <w:name w:val="ParaText"/>
    <w:basedOn w:val="Normal"/>
    <w:link w:val="ParaTextChar"/>
    <w:qFormat/>
    <w:rsid w:val="00A378FE"/>
    <w:pPr>
      <w:spacing w:before="240" w:after="120"/>
    </w:pPr>
  </w:style>
  <w:style w:type="paragraph" w:styleId="Header">
    <w:name w:val="header"/>
    <w:basedOn w:val="Normal"/>
    <w:link w:val="HeaderChar"/>
    <w:uiPriority w:val="99"/>
    <w:rsid w:val="00460C2E"/>
    <w:pPr>
      <w:tabs>
        <w:tab w:val="center" w:pos="4320"/>
        <w:tab w:val="right" w:pos="8640"/>
      </w:tabs>
      <w:spacing w:after="240"/>
      <w:jc w:val="both"/>
    </w:pPr>
    <w:rPr>
      <w:b/>
      <w:sz w:val="34"/>
    </w:rPr>
  </w:style>
  <w:style w:type="paragraph" w:styleId="Footer">
    <w:name w:val="footer"/>
    <w:basedOn w:val="Normal"/>
    <w:link w:val="FooterChar"/>
    <w:uiPriority w:val="99"/>
    <w:qFormat/>
    <w:rsid w:val="000B1D76"/>
    <w:pPr>
      <w:pBdr>
        <w:top w:val="single" w:sz="12" w:space="1" w:color="666666"/>
      </w:pBdr>
      <w:tabs>
        <w:tab w:val="right" w:pos="9360"/>
      </w:tabs>
      <w:spacing w:line="240" w:lineRule="auto"/>
    </w:pPr>
    <w:rPr>
      <w:color w:val="3F9C35" w:themeColor="accent2"/>
      <w:sz w:val="18"/>
      <w:szCs w:val="18"/>
    </w:rPr>
  </w:style>
  <w:style w:type="character" w:styleId="PageNumber">
    <w:name w:val="page number"/>
    <w:basedOn w:val="DefaultParagraphFont"/>
    <w:rsid w:val="00460C2E"/>
    <w:rPr>
      <w:rFonts w:ascii="Georgia" w:hAnsi="Georgia"/>
      <w:color w:val="666666"/>
      <w:sz w:val="18"/>
    </w:rPr>
  </w:style>
  <w:style w:type="paragraph" w:styleId="TOC1">
    <w:name w:val="toc 1"/>
    <w:basedOn w:val="Normal"/>
    <w:next w:val="Normal"/>
    <w:autoRedefine/>
    <w:uiPriority w:val="39"/>
    <w:rsid w:val="00460C2E"/>
    <w:pPr>
      <w:tabs>
        <w:tab w:val="left" w:pos="432"/>
        <w:tab w:val="right" w:leader="dot" w:pos="9360"/>
      </w:tabs>
      <w:ind w:left="432" w:hanging="432"/>
    </w:pPr>
    <w:rPr>
      <w:rFonts w:cs="Arial"/>
      <w:noProof/>
    </w:rPr>
  </w:style>
  <w:style w:type="paragraph" w:customStyle="1" w:styleId="TOCTitle">
    <w:name w:val="TOC Title"/>
    <w:basedOn w:val="Header"/>
    <w:rsid w:val="00A378FE"/>
    <w:pPr>
      <w:spacing w:before="360" w:after="400"/>
    </w:pPr>
    <w:rPr>
      <w:color w:val="3F9C35" w:themeColor="accent2"/>
      <w:sz w:val="42"/>
      <w:szCs w:val="42"/>
    </w:rPr>
  </w:style>
  <w:style w:type="paragraph" w:styleId="TOC9">
    <w:name w:val="toc 9"/>
    <w:basedOn w:val="Normal"/>
    <w:next w:val="Normal"/>
    <w:autoRedefine/>
    <w:semiHidden/>
    <w:rsid w:val="00460C2E"/>
    <w:pPr>
      <w:tabs>
        <w:tab w:val="right" w:pos="1728"/>
        <w:tab w:val="right" w:leader="dot" w:pos="9360"/>
      </w:tabs>
    </w:pPr>
    <w:rPr>
      <w:rFonts w:cs="Arial"/>
      <w:noProof/>
    </w:rPr>
  </w:style>
  <w:style w:type="paragraph" w:customStyle="1" w:styleId="ExhLst">
    <w:name w:val="Exh_Lst"/>
    <w:basedOn w:val="Normal"/>
    <w:rsid w:val="00A378FE"/>
    <w:pPr>
      <w:spacing w:after="240"/>
    </w:pPr>
    <w:rPr>
      <w:b/>
      <w:color w:val="3F9C35" w:themeColor="accent2"/>
      <w:sz w:val="26"/>
    </w:rPr>
  </w:style>
  <w:style w:type="paragraph" w:customStyle="1" w:styleId="List1">
    <w:name w:val="List 1"/>
    <w:basedOn w:val="Normal"/>
    <w:rsid w:val="00460C2E"/>
    <w:pPr>
      <w:numPr>
        <w:numId w:val="13"/>
      </w:numPr>
      <w:tabs>
        <w:tab w:val="left" w:pos="360"/>
      </w:tabs>
      <w:spacing w:line="300" w:lineRule="auto"/>
      <w:outlineLvl w:val="0"/>
    </w:pPr>
  </w:style>
  <w:style w:type="paragraph" w:customStyle="1" w:styleId="Bullet1">
    <w:name w:val="Bullet 1"/>
    <w:basedOn w:val="Normal"/>
    <w:qFormat/>
    <w:rsid w:val="00A378FE"/>
    <w:pPr>
      <w:numPr>
        <w:numId w:val="14"/>
      </w:numPr>
    </w:pPr>
  </w:style>
  <w:style w:type="paragraph" w:styleId="BalloonText">
    <w:name w:val="Balloon Text"/>
    <w:basedOn w:val="Normal"/>
    <w:link w:val="BalloonTextChar"/>
    <w:semiHidden/>
    <w:rsid w:val="00460C2E"/>
    <w:pPr>
      <w:spacing w:line="240" w:lineRule="auto"/>
    </w:pPr>
    <w:rPr>
      <w:rFonts w:ascii="Tahoma" w:hAnsi="Tahoma" w:cs="Tahoma"/>
      <w:sz w:val="16"/>
      <w:szCs w:val="16"/>
    </w:rPr>
  </w:style>
  <w:style w:type="paragraph" w:customStyle="1" w:styleId="Exhibit">
    <w:name w:val="Exhibit"/>
    <w:basedOn w:val="Normal"/>
    <w:next w:val="Normal"/>
    <w:rsid w:val="00460C2E"/>
    <w:pPr>
      <w:spacing w:after="240"/>
    </w:pPr>
    <w:rPr>
      <w:rFonts w:ascii="Verdana" w:hAnsi="Verdana"/>
      <w:b/>
    </w:rPr>
  </w:style>
  <w:style w:type="paragraph" w:styleId="TableofFigures">
    <w:name w:val="table of figures"/>
    <w:basedOn w:val="Normal"/>
    <w:next w:val="Normal"/>
    <w:uiPriority w:val="99"/>
    <w:rsid w:val="00460C2E"/>
    <w:pPr>
      <w:ind w:left="440" w:hanging="440"/>
    </w:pPr>
  </w:style>
  <w:style w:type="paragraph" w:styleId="TOC2">
    <w:name w:val="toc 2"/>
    <w:basedOn w:val="Normal"/>
    <w:next w:val="Normal"/>
    <w:autoRedefine/>
    <w:uiPriority w:val="39"/>
    <w:rsid w:val="00460C2E"/>
    <w:pPr>
      <w:tabs>
        <w:tab w:val="left" w:pos="1080"/>
        <w:tab w:val="right" w:leader="dot" w:pos="9360"/>
      </w:tabs>
      <w:ind w:left="1440" w:hanging="1008"/>
    </w:pPr>
    <w:rPr>
      <w:noProof/>
    </w:rPr>
  </w:style>
  <w:style w:type="paragraph" w:styleId="TOC3">
    <w:name w:val="toc 3"/>
    <w:basedOn w:val="Normal"/>
    <w:next w:val="Normal"/>
    <w:autoRedefine/>
    <w:uiPriority w:val="39"/>
    <w:rsid w:val="00460C2E"/>
    <w:pPr>
      <w:tabs>
        <w:tab w:val="left" w:pos="1512"/>
        <w:tab w:val="right" w:leader="dot" w:pos="9360"/>
      </w:tabs>
      <w:ind w:left="2376" w:hanging="1512"/>
    </w:pPr>
    <w:rPr>
      <w:noProof/>
    </w:rPr>
  </w:style>
  <w:style w:type="paragraph" w:styleId="TOC4">
    <w:name w:val="toc 4"/>
    <w:basedOn w:val="Normal"/>
    <w:next w:val="Normal"/>
    <w:autoRedefine/>
    <w:semiHidden/>
    <w:rsid w:val="00460C2E"/>
    <w:pPr>
      <w:tabs>
        <w:tab w:val="left" w:pos="2592"/>
        <w:tab w:val="right" w:leader="dot" w:pos="9360"/>
      </w:tabs>
      <w:ind w:left="-810" w:firstLine="2538"/>
    </w:pPr>
    <w:rPr>
      <w:noProof/>
    </w:rPr>
  </w:style>
  <w:style w:type="paragraph" w:styleId="TOC5">
    <w:name w:val="toc 5"/>
    <w:basedOn w:val="Normal"/>
    <w:next w:val="Normal"/>
    <w:autoRedefine/>
    <w:semiHidden/>
    <w:rsid w:val="00460C2E"/>
    <w:pPr>
      <w:tabs>
        <w:tab w:val="left" w:pos="2736"/>
        <w:tab w:val="left" w:pos="3672"/>
        <w:tab w:val="right" w:leader="dot" w:pos="9360"/>
      </w:tabs>
      <w:ind w:left="-1350" w:firstLine="3942"/>
    </w:pPr>
    <w:rPr>
      <w:noProof/>
    </w:rPr>
  </w:style>
  <w:style w:type="paragraph" w:styleId="TOC6">
    <w:name w:val="toc 6"/>
    <w:basedOn w:val="Normal"/>
    <w:next w:val="Normal"/>
    <w:autoRedefine/>
    <w:semiHidden/>
    <w:rsid w:val="00460C2E"/>
    <w:pPr>
      <w:tabs>
        <w:tab w:val="left" w:pos="5040"/>
        <w:tab w:val="right" w:leader="dot" w:pos="9350"/>
      </w:tabs>
      <w:ind w:left="3708"/>
    </w:pPr>
  </w:style>
  <w:style w:type="paragraph" w:styleId="TOC7">
    <w:name w:val="toc 7"/>
    <w:basedOn w:val="Normal"/>
    <w:next w:val="Normal"/>
    <w:autoRedefine/>
    <w:semiHidden/>
    <w:rsid w:val="00460C2E"/>
    <w:pPr>
      <w:tabs>
        <w:tab w:val="left" w:pos="432"/>
        <w:tab w:val="right" w:leader="dot" w:pos="9360"/>
      </w:tabs>
      <w:ind w:left="432" w:hanging="432"/>
    </w:pPr>
    <w:rPr>
      <w:noProof/>
    </w:rPr>
  </w:style>
  <w:style w:type="paragraph" w:styleId="TOC8">
    <w:name w:val="toc 8"/>
    <w:basedOn w:val="Normal"/>
    <w:next w:val="Normal"/>
    <w:autoRedefine/>
    <w:semiHidden/>
    <w:rsid w:val="00460C2E"/>
    <w:pPr>
      <w:ind w:left="1540"/>
    </w:pPr>
  </w:style>
  <w:style w:type="paragraph" w:styleId="Caption">
    <w:name w:val="caption"/>
    <w:aliases w:val="Table Caption Char,Table Caption"/>
    <w:basedOn w:val="Normal"/>
    <w:next w:val="Normal"/>
    <w:link w:val="CaptionChar"/>
    <w:qFormat/>
    <w:rsid w:val="00460C2E"/>
    <w:pPr>
      <w:spacing w:before="120" w:after="60"/>
      <w:jc w:val="center"/>
    </w:pPr>
    <w:rPr>
      <w:b/>
    </w:rPr>
  </w:style>
  <w:style w:type="character" w:styleId="Hyperlink">
    <w:name w:val="Hyperlink"/>
    <w:basedOn w:val="DefaultParagraphFont"/>
    <w:uiPriority w:val="99"/>
    <w:rsid w:val="00460C2E"/>
    <w:rPr>
      <w:color w:val="0000FF"/>
      <w:u w:val="single"/>
    </w:rPr>
  </w:style>
  <w:style w:type="paragraph" w:customStyle="1" w:styleId="Bullet2">
    <w:name w:val="Bullet 2"/>
    <w:basedOn w:val="Normal"/>
    <w:qFormat/>
    <w:rsid w:val="00A378FE"/>
    <w:pPr>
      <w:numPr>
        <w:numId w:val="15"/>
      </w:numPr>
    </w:pPr>
  </w:style>
  <w:style w:type="paragraph" w:customStyle="1" w:styleId="Bullet3">
    <w:name w:val="Bullet 3"/>
    <w:basedOn w:val="Normal"/>
    <w:rsid w:val="00A378FE"/>
    <w:pPr>
      <w:numPr>
        <w:numId w:val="16"/>
      </w:numPr>
    </w:pPr>
  </w:style>
  <w:style w:type="paragraph" w:customStyle="1" w:styleId="Headline">
    <w:name w:val="Headline"/>
    <w:basedOn w:val="Normal"/>
    <w:next w:val="SubHeadline"/>
    <w:rsid w:val="00A378FE"/>
    <w:rPr>
      <w:color w:val="3F9C35" w:themeColor="accent2"/>
      <w:sz w:val="56"/>
      <w:szCs w:val="44"/>
      <w:lang w:val="en-GB"/>
    </w:rPr>
  </w:style>
  <w:style w:type="paragraph" w:customStyle="1" w:styleId="SubHeadline">
    <w:name w:val="Sub Headline"/>
    <w:basedOn w:val="Headline"/>
    <w:next w:val="Normal"/>
    <w:rsid w:val="00460C2E"/>
    <w:rPr>
      <w:sz w:val="44"/>
      <w:szCs w:val="30"/>
    </w:rPr>
  </w:style>
  <w:style w:type="paragraph" w:customStyle="1" w:styleId="Bullet1-hardreturn">
    <w:name w:val="Bullet 1 - hard return"/>
    <w:basedOn w:val="Bullet1"/>
    <w:rsid w:val="00460C2E"/>
    <w:pPr>
      <w:numPr>
        <w:numId w:val="0"/>
      </w:numPr>
      <w:spacing w:after="240"/>
    </w:pPr>
  </w:style>
  <w:style w:type="paragraph" w:customStyle="1" w:styleId="Bullet2-hardreturn">
    <w:name w:val="Bullet 2 - hard return"/>
    <w:basedOn w:val="Bullet2"/>
    <w:rsid w:val="00460C2E"/>
    <w:pPr>
      <w:numPr>
        <w:numId w:val="0"/>
      </w:numPr>
      <w:spacing w:after="240"/>
    </w:pPr>
  </w:style>
  <w:style w:type="paragraph" w:customStyle="1" w:styleId="Bullet3-hardreturn">
    <w:name w:val="Bullet 3 - hard return"/>
    <w:basedOn w:val="Bullet3"/>
    <w:rsid w:val="00460C2E"/>
    <w:pPr>
      <w:numPr>
        <w:numId w:val="0"/>
      </w:numPr>
      <w:spacing w:after="240"/>
    </w:pPr>
  </w:style>
  <w:style w:type="paragraph" w:customStyle="1" w:styleId="Tabletext">
    <w:name w:val="Table text"/>
    <w:basedOn w:val="Normal"/>
    <w:qFormat/>
    <w:rsid w:val="00A378FE"/>
    <w:pPr>
      <w:spacing w:before="20" w:after="20"/>
    </w:pPr>
    <w:rPr>
      <w:sz w:val="20"/>
    </w:rPr>
  </w:style>
  <w:style w:type="paragraph" w:customStyle="1" w:styleId="Text">
    <w:name w:val="Text"/>
    <w:basedOn w:val="Normal"/>
    <w:rsid w:val="00460C2E"/>
    <w:rPr>
      <w:color w:val="003591" w:themeColor="text2"/>
      <w:sz w:val="26"/>
      <w:szCs w:val="26"/>
      <w:lang w:val="en-GB"/>
    </w:rPr>
  </w:style>
  <w:style w:type="table" w:styleId="TableGrid">
    <w:name w:val="Table Grid"/>
    <w:aliases w:val="normal"/>
    <w:basedOn w:val="TableNormal"/>
    <w:rsid w:val="00460C2E"/>
    <w:tblP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
    <w:tcPr>
      <w:vAlign w:val="center"/>
    </w:tcPr>
    <w:tblStylePr w:type="firstRow">
      <w:pPr>
        <w:keepNext/>
        <w:widowControl/>
        <w:wordWrap/>
        <w:spacing w:beforeLines="0" w:beforeAutospacing="0" w:afterLines="0" w:afterAutospacing="0" w:line="312" w:lineRule="auto"/>
        <w:jc w:val="center"/>
        <w:outlineLvl w:val="9"/>
      </w:pPr>
      <w:rPr>
        <w:rFonts w:ascii="Verdana" w:hAnsi="Verdana"/>
        <w:b/>
        <w:color w:val="FFFFFF" w:themeColor="background1"/>
        <w:sz w:val="20"/>
      </w:rPr>
      <w:tblPr/>
      <w:tcPr>
        <w:shd w:val="clear" w:color="auto" w:fill="003591"/>
      </w:tcPr>
    </w:tblStylePr>
  </w:style>
  <w:style w:type="paragraph" w:styleId="FootnoteText">
    <w:name w:val="footnote text"/>
    <w:aliases w:val="DFSListFootnote"/>
    <w:basedOn w:val="Normal"/>
    <w:link w:val="FootnoteTextChar"/>
    <w:uiPriority w:val="99"/>
    <w:rsid w:val="00460C2E"/>
    <w:pPr>
      <w:spacing w:after="60" w:line="240" w:lineRule="auto"/>
    </w:pPr>
    <w:rPr>
      <w:sz w:val="20"/>
      <w:szCs w:val="20"/>
    </w:rPr>
  </w:style>
  <w:style w:type="character" w:styleId="FootnoteReference">
    <w:name w:val="footnote reference"/>
    <w:basedOn w:val="DefaultParagraphFont"/>
    <w:uiPriority w:val="99"/>
    <w:rsid w:val="00460C2E"/>
    <w:rPr>
      <w:vertAlign w:val="superscript"/>
    </w:rPr>
  </w:style>
  <w:style w:type="character" w:customStyle="1" w:styleId="BalloonTextChar">
    <w:name w:val="Balloon Text Char"/>
    <w:basedOn w:val="DefaultParagraphFont"/>
    <w:link w:val="BalloonText"/>
    <w:semiHidden/>
    <w:rsid w:val="00460C2E"/>
    <w:rPr>
      <w:rFonts w:ascii="Tahoma" w:hAnsi="Tahoma" w:cs="Tahoma"/>
      <w:sz w:val="16"/>
      <w:szCs w:val="16"/>
    </w:rPr>
  </w:style>
  <w:style w:type="paragraph" w:styleId="List2">
    <w:name w:val="List 2"/>
    <w:basedOn w:val="Normal"/>
    <w:rsid w:val="00460C2E"/>
    <w:pPr>
      <w:numPr>
        <w:ilvl w:val="1"/>
        <w:numId w:val="13"/>
      </w:numPr>
      <w:tabs>
        <w:tab w:val="left" w:pos="360"/>
      </w:tabs>
      <w:contextualSpacing/>
      <w:outlineLvl w:val="1"/>
    </w:pPr>
  </w:style>
  <w:style w:type="paragraph" w:styleId="List3">
    <w:name w:val="List 3"/>
    <w:basedOn w:val="Normal"/>
    <w:rsid w:val="00460C2E"/>
    <w:pPr>
      <w:numPr>
        <w:ilvl w:val="2"/>
        <w:numId w:val="13"/>
      </w:numPr>
      <w:tabs>
        <w:tab w:val="left" w:pos="360"/>
      </w:tabs>
      <w:contextualSpacing/>
      <w:outlineLvl w:val="2"/>
    </w:pPr>
  </w:style>
  <w:style w:type="paragraph" w:customStyle="1" w:styleId="Tableleft-handcolumn">
    <w:name w:val="Table: left-hand column"/>
    <w:basedOn w:val="Tabletext"/>
    <w:next w:val="ParaText"/>
    <w:rsid w:val="00A378FE"/>
    <w:rPr>
      <w:b/>
    </w:rPr>
  </w:style>
  <w:style w:type="character" w:customStyle="1" w:styleId="ParaTextChar">
    <w:name w:val="ParaText Char"/>
    <w:basedOn w:val="DefaultParagraphFont"/>
    <w:link w:val="ParaText"/>
    <w:rsid w:val="00A378FE"/>
    <w:rPr>
      <w:rFonts w:ascii="Calibri" w:hAnsi="Calibri"/>
    </w:rPr>
  </w:style>
  <w:style w:type="table" w:styleId="LightList-Accent1">
    <w:name w:val="Light List Accent 1"/>
    <w:basedOn w:val="TableNormal"/>
    <w:uiPriority w:val="61"/>
    <w:rsid w:val="00460C2E"/>
    <w:pPr>
      <w:spacing w:line="240" w:lineRule="auto"/>
    </w:pPr>
    <w:tblPr>
      <w:tblStyleRowBandSize w:val="1"/>
      <w:tblStyleColBandSize w:val="1"/>
      <w:tblBorders>
        <w:top w:val="single" w:sz="8" w:space="0" w:color="003591" w:themeColor="accent1"/>
        <w:left w:val="single" w:sz="8" w:space="0" w:color="003591" w:themeColor="accent1"/>
        <w:bottom w:val="single" w:sz="8" w:space="0" w:color="003591" w:themeColor="accent1"/>
        <w:right w:val="single" w:sz="8" w:space="0" w:color="003591" w:themeColor="accent1"/>
      </w:tblBorders>
    </w:tblPr>
    <w:tblStylePr w:type="firstRow">
      <w:pPr>
        <w:spacing w:before="0" w:after="0" w:line="240" w:lineRule="auto"/>
      </w:pPr>
      <w:rPr>
        <w:b/>
        <w:bCs/>
        <w:color w:val="FFFFFF" w:themeColor="background1"/>
      </w:rPr>
      <w:tblPr/>
      <w:tcPr>
        <w:shd w:val="clear" w:color="auto" w:fill="003591" w:themeFill="accent1"/>
      </w:tcPr>
    </w:tblStylePr>
    <w:tblStylePr w:type="lastRow">
      <w:pPr>
        <w:spacing w:before="0" w:after="0" w:line="240" w:lineRule="auto"/>
      </w:pPr>
      <w:rPr>
        <w:b/>
        <w:bCs/>
      </w:rPr>
      <w:tblPr/>
      <w:tcPr>
        <w:tcBorders>
          <w:top w:val="double" w:sz="6" w:space="0" w:color="003591" w:themeColor="accent1"/>
          <w:left w:val="single" w:sz="8" w:space="0" w:color="003591" w:themeColor="accent1"/>
          <w:bottom w:val="single" w:sz="8" w:space="0" w:color="003591" w:themeColor="accent1"/>
          <w:right w:val="single" w:sz="8" w:space="0" w:color="003591" w:themeColor="accent1"/>
        </w:tcBorders>
      </w:tcPr>
    </w:tblStylePr>
    <w:tblStylePr w:type="firstCol">
      <w:rPr>
        <w:b/>
        <w:bCs/>
      </w:rPr>
    </w:tblStylePr>
    <w:tblStylePr w:type="lastCol">
      <w:rPr>
        <w:b/>
        <w:bCs/>
      </w:rPr>
    </w:tblStylePr>
    <w:tblStylePr w:type="band1Vert">
      <w:tblPr/>
      <w:tcPr>
        <w:tcBorders>
          <w:top w:val="single" w:sz="8" w:space="0" w:color="003591" w:themeColor="accent1"/>
          <w:left w:val="single" w:sz="8" w:space="0" w:color="003591" w:themeColor="accent1"/>
          <w:bottom w:val="single" w:sz="8" w:space="0" w:color="003591" w:themeColor="accent1"/>
          <w:right w:val="single" w:sz="8" w:space="0" w:color="003591" w:themeColor="accent1"/>
        </w:tcBorders>
      </w:tcPr>
    </w:tblStylePr>
    <w:tblStylePr w:type="band1Horz">
      <w:tblPr/>
      <w:tcPr>
        <w:tcBorders>
          <w:top w:val="single" w:sz="8" w:space="0" w:color="003591" w:themeColor="accent1"/>
          <w:left w:val="single" w:sz="8" w:space="0" w:color="003591" w:themeColor="accent1"/>
          <w:bottom w:val="single" w:sz="8" w:space="0" w:color="003591" w:themeColor="accent1"/>
          <w:right w:val="single" w:sz="8" w:space="0" w:color="003591" w:themeColor="accent1"/>
        </w:tcBorders>
      </w:tcPr>
    </w:tblStylePr>
  </w:style>
  <w:style w:type="table" w:styleId="Table3Deffects1">
    <w:name w:val="Table 3D effects 1"/>
    <w:basedOn w:val="TableNormal"/>
    <w:rsid w:val="00460C2E"/>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DNVGLNormal">
    <w:name w:val="DNV GL Normal"/>
    <w:aliases w:val="Alternating Rows"/>
    <w:basedOn w:val="TableNormal"/>
    <w:uiPriority w:val="99"/>
    <w:rsid w:val="00460C2E"/>
    <w:pPr>
      <w:spacing w:before="20" w:after="20"/>
    </w:pPr>
    <w:tblPr>
      <w:tblStyleRowBandSize w:val="1"/>
      <w:tblBorders>
        <w:top w:val="single" w:sz="4" w:space="0" w:color="A6BAED" w:themeColor="accent4" w:themeTint="40"/>
        <w:left w:val="single" w:sz="4" w:space="0" w:color="A6BAED" w:themeColor="accent4" w:themeTint="40"/>
        <w:bottom w:val="single" w:sz="4" w:space="0" w:color="A6BAED" w:themeColor="accent4" w:themeTint="40"/>
        <w:right w:val="single" w:sz="4" w:space="0" w:color="A6BAED" w:themeColor="accent4" w:themeTint="40"/>
        <w:insideH w:val="single" w:sz="4" w:space="0" w:color="A6BAED" w:themeColor="accent4" w:themeTint="40"/>
        <w:insideV w:val="single" w:sz="4" w:space="0" w:color="A6BAED" w:themeColor="accent4" w:themeTint="40"/>
      </w:tblBorders>
    </w:tblPr>
    <w:tblStylePr w:type="firstRow">
      <w:pPr>
        <w:wordWrap/>
        <w:jc w:val="center"/>
      </w:pPr>
      <w:rPr>
        <w:rFonts w:asciiTheme="majorHAnsi" w:hAnsiTheme="majorHAnsi"/>
        <w:b/>
        <w:color w:val="FFFFFF" w:themeColor="background2"/>
        <w:sz w:val="22"/>
      </w:rPr>
      <w:tblPr/>
      <w:tcPr>
        <w:shd w:val="clear" w:color="auto" w:fill="003591" w:themeFill="text2"/>
      </w:tcPr>
    </w:tblStylePr>
    <w:tblStylePr w:type="band1Horz">
      <w:tblPr/>
      <w:tcPr>
        <w:shd w:val="clear" w:color="auto" w:fill="E5F5FB" w:themeFill="accent6"/>
      </w:tcPr>
    </w:tblStylePr>
  </w:style>
  <w:style w:type="table" w:customStyle="1" w:styleId="DNVGLTable">
    <w:name w:val="DNV GL Table"/>
    <w:aliases w:val="variation"/>
    <w:basedOn w:val="TableNormal"/>
    <w:uiPriority w:val="99"/>
    <w:rsid w:val="00460C2E"/>
    <w:pPr>
      <w:spacing w:before="20" w:after="20"/>
    </w:pPr>
    <w:rPr>
      <w:rFonts w:asciiTheme="minorHAnsi" w:hAnsiTheme="minorHAnsi"/>
    </w:rPr>
    <w:tblPr>
      <w:tblBorders>
        <w:top w:val="single" w:sz="8" w:space="0" w:color="FFFFFF" w:themeColor="background1"/>
        <w:bottom w:val="single" w:sz="8" w:space="0" w:color="FFFFFF" w:themeColor="background1"/>
        <w:insideH w:val="single" w:sz="8" w:space="0" w:color="FFFFFF" w:themeColor="background1"/>
      </w:tblBorders>
    </w:tblPr>
    <w:tcPr>
      <w:shd w:val="clear" w:color="auto" w:fill="F2F2F2" w:themeFill="background1" w:themeFillShade="F2"/>
    </w:tcPr>
    <w:tblStylePr w:type="firstRow">
      <w:rPr>
        <w:rFonts w:asciiTheme="majorHAnsi" w:hAnsiTheme="majorHAnsi"/>
        <w:b/>
        <w:color w:val="FFFFFF" w:themeColor="background1"/>
        <w:sz w:val="20"/>
      </w:rPr>
      <w:tblPr/>
      <w:tcPr>
        <w:shd w:val="clear" w:color="auto" w:fill="009FDA" w:themeFill="accent5"/>
      </w:tcPr>
    </w:tblStylePr>
    <w:tblStylePr w:type="lastRow">
      <w:rPr>
        <w:rFonts w:asciiTheme="majorHAnsi" w:hAnsiTheme="majorHAnsi"/>
        <w:b w:val="0"/>
        <w:color w:val="FFFFFF" w:themeColor="background1"/>
        <w:sz w:val="20"/>
      </w:rPr>
      <w:tblPr/>
      <w:tcPr>
        <w:shd w:val="clear" w:color="auto" w:fill="009FDA" w:themeFill="accent5"/>
      </w:tcPr>
    </w:tblStylePr>
  </w:style>
  <w:style w:type="paragraph" w:customStyle="1" w:styleId="CoverText">
    <w:name w:val="Cover Text"/>
    <w:basedOn w:val="Normal"/>
    <w:next w:val="Normal"/>
    <w:rsid w:val="00460C2E"/>
    <w:rPr>
      <w:sz w:val="28"/>
      <w:szCs w:val="28"/>
    </w:rPr>
  </w:style>
  <w:style w:type="paragraph" w:customStyle="1" w:styleId="TableColumnHead">
    <w:name w:val="Table Column Head"/>
    <w:basedOn w:val="Tabletext"/>
    <w:next w:val="Normal"/>
    <w:rsid w:val="00460C2E"/>
    <w:pPr>
      <w:keepNext/>
      <w:jc w:val="center"/>
    </w:pPr>
    <w:rPr>
      <w:rFonts w:ascii="Verdana" w:hAnsi="Verdana"/>
      <w:b/>
      <w:color w:val="FFFFFF" w:themeColor="background1"/>
    </w:rPr>
  </w:style>
  <w:style w:type="paragraph" w:styleId="ListParagraph">
    <w:name w:val="List Paragraph"/>
    <w:basedOn w:val="Normal"/>
    <w:uiPriority w:val="34"/>
    <w:qFormat/>
    <w:rsid w:val="00460C2E"/>
    <w:pPr>
      <w:ind w:left="720"/>
      <w:contextualSpacing/>
    </w:pPr>
  </w:style>
  <w:style w:type="paragraph" w:customStyle="1" w:styleId="RFPText">
    <w:name w:val="RFP Text"/>
    <w:basedOn w:val="Normal"/>
    <w:rsid w:val="00460C2E"/>
    <w:pPr>
      <w:spacing w:before="120" w:after="120"/>
    </w:pPr>
    <w:rPr>
      <w:i/>
      <w:color w:val="0434B1"/>
    </w:rPr>
  </w:style>
  <w:style w:type="paragraph" w:customStyle="1" w:styleId="Question">
    <w:name w:val="Question"/>
    <w:basedOn w:val="Normal"/>
    <w:next w:val="ParaText"/>
    <w:rsid w:val="00460C2E"/>
    <w:pPr>
      <w:spacing w:before="180" w:line="264" w:lineRule="auto"/>
      <w:ind w:left="720" w:hanging="720"/>
    </w:pPr>
    <w:rPr>
      <w:b/>
    </w:rPr>
  </w:style>
  <w:style w:type="paragraph" w:styleId="BodyText">
    <w:name w:val="Body Text"/>
    <w:basedOn w:val="Normal"/>
    <w:link w:val="BodyTextChar"/>
    <w:uiPriority w:val="1"/>
    <w:qFormat/>
    <w:rsid w:val="00460C2E"/>
    <w:pPr>
      <w:spacing w:line="312" w:lineRule="auto"/>
    </w:pPr>
    <w:rPr>
      <w:szCs w:val="24"/>
    </w:rPr>
  </w:style>
  <w:style w:type="character" w:customStyle="1" w:styleId="BodyTextChar">
    <w:name w:val="Body Text Char"/>
    <w:basedOn w:val="DefaultParagraphFont"/>
    <w:link w:val="BodyText"/>
    <w:uiPriority w:val="1"/>
    <w:rsid w:val="00460C2E"/>
    <w:rPr>
      <w:szCs w:val="24"/>
    </w:rPr>
  </w:style>
  <w:style w:type="paragraph" w:customStyle="1" w:styleId="Valediction">
    <w:name w:val="Valediction"/>
    <w:basedOn w:val="BodyText"/>
    <w:semiHidden/>
    <w:rsid w:val="00460C2E"/>
    <w:pPr>
      <w:keepNext/>
    </w:pPr>
  </w:style>
  <w:style w:type="paragraph" w:customStyle="1" w:styleId="ccenc">
    <w:name w:val="cc/enc"/>
    <w:basedOn w:val="BodyText"/>
    <w:semiHidden/>
    <w:rsid w:val="00460C2E"/>
    <w:pPr>
      <w:tabs>
        <w:tab w:val="left" w:pos="1418"/>
      </w:tabs>
      <w:spacing w:before="240"/>
      <w:ind w:left="1418" w:hanging="1418"/>
    </w:pPr>
  </w:style>
  <w:style w:type="paragraph" w:customStyle="1" w:styleId="LegalFooter">
    <w:name w:val="LegalFooter"/>
    <w:basedOn w:val="Footer"/>
    <w:semiHidden/>
    <w:rsid w:val="00460C2E"/>
    <w:pPr>
      <w:pBdr>
        <w:top w:val="none" w:sz="0" w:space="0" w:color="auto"/>
      </w:pBdr>
      <w:tabs>
        <w:tab w:val="clear" w:pos="9360"/>
      </w:tabs>
      <w:spacing w:line="264" w:lineRule="auto"/>
    </w:pPr>
    <w:rPr>
      <w:rFonts w:ascii="Verdana" w:hAnsi="Verdana"/>
      <w:noProof/>
      <w:color w:val="auto"/>
      <w:sz w:val="17"/>
      <w:szCs w:val="24"/>
    </w:rPr>
  </w:style>
  <w:style w:type="paragraph" w:customStyle="1" w:styleId="FooterDate">
    <w:name w:val="Footer Date"/>
    <w:basedOn w:val="Normal"/>
    <w:semiHidden/>
    <w:unhideWhenUsed/>
    <w:rsid w:val="00460C2E"/>
    <w:pPr>
      <w:keepNext/>
      <w:snapToGrid w:val="0"/>
      <w:jc w:val="right"/>
    </w:pPr>
    <w:rPr>
      <w:rFonts w:cstheme="minorHAnsi"/>
      <w:color w:val="666666"/>
      <w:sz w:val="18"/>
      <w:szCs w:val="18"/>
    </w:rPr>
  </w:style>
  <w:style w:type="paragraph" w:customStyle="1" w:styleId="FooterCompanyName">
    <w:name w:val="Footer Company Name"/>
    <w:basedOn w:val="FootnoteText"/>
    <w:unhideWhenUsed/>
    <w:rsid w:val="00460C2E"/>
    <w:pPr>
      <w:keepNext/>
    </w:pPr>
    <w:rPr>
      <w:rFonts w:ascii="Verdana" w:hAnsi="Verdana"/>
      <w:color w:val="666666"/>
    </w:rPr>
  </w:style>
  <w:style w:type="character" w:customStyle="1" w:styleId="FooterChar">
    <w:name w:val="Footer Char"/>
    <w:basedOn w:val="DefaultParagraphFont"/>
    <w:link w:val="Footer"/>
    <w:uiPriority w:val="99"/>
    <w:rsid w:val="000B1D76"/>
    <w:rPr>
      <w:rFonts w:ascii="Calibri" w:hAnsi="Calibri"/>
      <w:color w:val="3F9C35" w:themeColor="accent2"/>
      <w:sz w:val="18"/>
      <w:szCs w:val="18"/>
    </w:rPr>
  </w:style>
  <w:style w:type="character" w:customStyle="1" w:styleId="HeaderChar">
    <w:name w:val="Header Char"/>
    <w:basedOn w:val="DefaultParagraphFont"/>
    <w:link w:val="Header"/>
    <w:uiPriority w:val="99"/>
    <w:rsid w:val="00460C2E"/>
    <w:rPr>
      <w:b/>
      <w:sz w:val="34"/>
    </w:rPr>
  </w:style>
  <w:style w:type="paragraph" w:customStyle="1" w:styleId="BackCover">
    <w:name w:val="Back Cover"/>
    <w:basedOn w:val="BodyText"/>
    <w:next w:val="Normal"/>
    <w:rsid w:val="00460C2E"/>
    <w:pPr>
      <w:spacing w:line="264" w:lineRule="auto"/>
      <w:ind w:right="1440"/>
    </w:pPr>
    <w:rPr>
      <w:rFonts w:ascii="Verdana" w:hAnsi="Verdana" w:cs="Arial"/>
      <w:color w:val="666666"/>
      <w:sz w:val="20"/>
      <w:szCs w:val="20"/>
    </w:rPr>
  </w:style>
  <w:style w:type="table" w:styleId="LightList-Accent5">
    <w:name w:val="Light List Accent 5"/>
    <w:basedOn w:val="TableNormal"/>
    <w:uiPriority w:val="61"/>
    <w:rsid w:val="00460C2E"/>
    <w:pPr>
      <w:spacing w:line="240" w:lineRule="auto"/>
    </w:pPr>
    <w:tblPr>
      <w:tblStyleRowBandSize w:val="1"/>
      <w:tblStyleColBandSize w:val="1"/>
      <w:tblBorders>
        <w:top w:val="single" w:sz="8" w:space="0" w:color="009FDA" w:themeColor="accent5"/>
        <w:left w:val="single" w:sz="8" w:space="0" w:color="009FDA" w:themeColor="accent5"/>
        <w:bottom w:val="single" w:sz="8" w:space="0" w:color="009FDA" w:themeColor="accent5"/>
        <w:right w:val="single" w:sz="8" w:space="0" w:color="009FDA" w:themeColor="accent5"/>
      </w:tblBorders>
    </w:tblPr>
    <w:tblStylePr w:type="firstRow">
      <w:pPr>
        <w:spacing w:before="0" w:after="0" w:line="240" w:lineRule="auto"/>
      </w:pPr>
      <w:rPr>
        <w:b/>
        <w:bCs/>
        <w:color w:val="FFFFFF" w:themeColor="background1"/>
      </w:rPr>
      <w:tblPr/>
      <w:tcPr>
        <w:shd w:val="clear" w:color="auto" w:fill="009FDA" w:themeFill="accent5"/>
      </w:tcPr>
    </w:tblStylePr>
    <w:tblStylePr w:type="lastRow">
      <w:pPr>
        <w:spacing w:before="0" w:after="0" w:line="240" w:lineRule="auto"/>
      </w:pPr>
      <w:rPr>
        <w:b/>
        <w:bCs/>
      </w:rPr>
      <w:tblPr/>
      <w:tcPr>
        <w:tcBorders>
          <w:top w:val="double" w:sz="6" w:space="0" w:color="009FDA" w:themeColor="accent5"/>
          <w:left w:val="single" w:sz="8" w:space="0" w:color="009FDA" w:themeColor="accent5"/>
          <w:bottom w:val="single" w:sz="8" w:space="0" w:color="009FDA" w:themeColor="accent5"/>
          <w:right w:val="single" w:sz="8" w:space="0" w:color="009FDA" w:themeColor="accent5"/>
        </w:tcBorders>
      </w:tcPr>
    </w:tblStylePr>
    <w:tblStylePr w:type="firstCol">
      <w:rPr>
        <w:b/>
        <w:bCs/>
      </w:rPr>
    </w:tblStylePr>
    <w:tblStylePr w:type="lastCol">
      <w:rPr>
        <w:b/>
        <w:bCs/>
      </w:rPr>
    </w:tblStylePr>
    <w:tblStylePr w:type="band1Vert">
      <w:tblPr/>
      <w:tcPr>
        <w:tcBorders>
          <w:top w:val="single" w:sz="8" w:space="0" w:color="009FDA" w:themeColor="accent5"/>
          <w:left w:val="single" w:sz="8" w:space="0" w:color="009FDA" w:themeColor="accent5"/>
          <w:bottom w:val="single" w:sz="8" w:space="0" w:color="009FDA" w:themeColor="accent5"/>
          <w:right w:val="single" w:sz="8" w:space="0" w:color="009FDA" w:themeColor="accent5"/>
        </w:tcBorders>
      </w:tcPr>
    </w:tblStylePr>
    <w:tblStylePr w:type="band1Horz">
      <w:tblPr/>
      <w:tcPr>
        <w:tcBorders>
          <w:top w:val="single" w:sz="8" w:space="0" w:color="009FDA" w:themeColor="accent5"/>
          <w:left w:val="single" w:sz="8" w:space="0" w:color="009FDA" w:themeColor="accent5"/>
          <w:bottom w:val="single" w:sz="8" w:space="0" w:color="009FDA" w:themeColor="accent5"/>
          <w:right w:val="single" w:sz="8" w:space="0" w:color="009FDA" w:themeColor="accent5"/>
        </w:tcBorders>
      </w:tcPr>
    </w:tblStylePr>
  </w:style>
  <w:style w:type="paragraph" w:styleId="BodyText3">
    <w:name w:val="Body Text 3"/>
    <w:basedOn w:val="Normal"/>
    <w:link w:val="BodyText3Char"/>
    <w:semiHidden/>
    <w:rsid w:val="00460C2E"/>
    <w:pPr>
      <w:spacing w:after="120"/>
    </w:pPr>
    <w:rPr>
      <w:sz w:val="16"/>
      <w:szCs w:val="16"/>
    </w:rPr>
  </w:style>
  <w:style w:type="character" w:customStyle="1" w:styleId="BodyText3Char">
    <w:name w:val="Body Text 3 Char"/>
    <w:basedOn w:val="DefaultParagraphFont"/>
    <w:link w:val="BodyText3"/>
    <w:semiHidden/>
    <w:rsid w:val="00460C2E"/>
    <w:rPr>
      <w:sz w:val="16"/>
      <w:szCs w:val="16"/>
    </w:rPr>
  </w:style>
  <w:style w:type="paragraph" w:styleId="BodyTextIndent">
    <w:name w:val="Body Text Indent"/>
    <w:basedOn w:val="Normal"/>
    <w:link w:val="BodyTextIndentChar"/>
    <w:semiHidden/>
    <w:rsid w:val="00460C2E"/>
    <w:pPr>
      <w:spacing w:after="120"/>
      <w:ind w:left="360"/>
    </w:pPr>
  </w:style>
  <w:style w:type="character" w:customStyle="1" w:styleId="BodyTextIndentChar">
    <w:name w:val="Body Text Indent Char"/>
    <w:basedOn w:val="DefaultParagraphFont"/>
    <w:link w:val="BodyTextIndent"/>
    <w:semiHidden/>
    <w:rsid w:val="00460C2E"/>
  </w:style>
  <w:style w:type="paragraph" w:styleId="BodyTextIndent2">
    <w:name w:val="Body Text Indent 2"/>
    <w:basedOn w:val="Normal"/>
    <w:link w:val="BodyTextIndent2Char"/>
    <w:semiHidden/>
    <w:rsid w:val="00460C2E"/>
    <w:pPr>
      <w:spacing w:after="120" w:line="480" w:lineRule="auto"/>
      <w:ind w:left="360"/>
    </w:pPr>
  </w:style>
  <w:style w:type="character" w:customStyle="1" w:styleId="BodyTextIndent2Char">
    <w:name w:val="Body Text Indent 2 Char"/>
    <w:basedOn w:val="DefaultParagraphFont"/>
    <w:link w:val="BodyTextIndent2"/>
    <w:semiHidden/>
    <w:rsid w:val="00460C2E"/>
  </w:style>
  <w:style w:type="paragraph" w:styleId="BodyTextIndent3">
    <w:name w:val="Body Text Indent 3"/>
    <w:basedOn w:val="Normal"/>
    <w:link w:val="BodyTextIndent3Char"/>
    <w:semiHidden/>
    <w:rsid w:val="00460C2E"/>
    <w:pPr>
      <w:spacing w:after="120"/>
      <w:ind w:left="360"/>
    </w:pPr>
    <w:rPr>
      <w:sz w:val="16"/>
      <w:szCs w:val="16"/>
    </w:rPr>
  </w:style>
  <w:style w:type="character" w:customStyle="1" w:styleId="BodyTextIndent3Char">
    <w:name w:val="Body Text Indent 3 Char"/>
    <w:basedOn w:val="DefaultParagraphFont"/>
    <w:link w:val="BodyTextIndent3"/>
    <w:semiHidden/>
    <w:rsid w:val="00460C2E"/>
    <w:rPr>
      <w:sz w:val="16"/>
      <w:szCs w:val="16"/>
    </w:rPr>
  </w:style>
  <w:style w:type="paragraph" w:styleId="CommentText">
    <w:name w:val="annotation text"/>
    <w:basedOn w:val="Normal"/>
    <w:link w:val="CommentTextChar"/>
    <w:semiHidden/>
    <w:rsid w:val="00460C2E"/>
    <w:pPr>
      <w:spacing w:line="240" w:lineRule="auto"/>
    </w:pPr>
    <w:rPr>
      <w:sz w:val="20"/>
      <w:szCs w:val="20"/>
    </w:rPr>
  </w:style>
  <w:style w:type="character" w:customStyle="1" w:styleId="CommentTextChar">
    <w:name w:val="Comment Text Char"/>
    <w:basedOn w:val="DefaultParagraphFont"/>
    <w:link w:val="CommentText"/>
    <w:semiHidden/>
    <w:rsid w:val="00460C2E"/>
    <w:rPr>
      <w:sz w:val="20"/>
      <w:szCs w:val="20"/>
    </w:rPr>
  </w:style>
  <w:style w:type="paragraph" w:styleId="CommentSubject">
    <w:name w:val="annotation subject"/>
    <w:basedOn w:val="CommentText"/>
    <w:next w:val="CommentText"/>
    <w:link w:val="CommentSubjectChar"/>
    <w:semiHidden/>
    <w:rsid w:val="00460C2E"/>
    <w:rPr>
      <w:b/>
      <w:bCs/>
    </w:rPr>
  </w:style>
  <w:style w:type="character" w:customStyle="1" w:styleId="CommentSubjectChar">
    <w:name w:val="Comment Subject Char"/>
    <w:basedOn w:val="CommentTextChar"/>
    <w:link w:val="CommentSubject"/>
    <w:semiHidden/>
    <w:rsid w:val="00460C2E"/>
    <w:rPr>
      <w:b/>
      <w:bCs/>
      <w:sz w:val="20"/>
      <w:szCs w:val="20"/>
    </w:rPr>
  </w:style>
  <w:style w:type="paragraph" w:styleId="Date">
    <w:name w:val="Date"/>
    <w:basedOn w:val="Normal"/>
    <w:next w:val="Normal"/>
    <w:link w:val="DateChar"/>
    <w:rsid w:val="00460C2E"/>
  </w:style>
  <w:style w:type="character" w:customStyle="1" w:styleId="DateChar">
    <w:name w:val="Date Char"/>
    <w:basedOn w:val="DefaultParagraphFont"/>
    <w:link w:val="Date"/>
    <w:rsid w:val="00460C2E"/>
  </w:style>
  <w:style w:type="paragraph" w:styleId="DocumentMap">
    <w:name w:val="Document Map"/>
    <w:basedOn w:val="Normal"/>
    <w:link w:val="DocumentMapChar"/>
    <w:rsid w:val="00460C2E"/>
    <w:pPr>
      <w:spacing w:line="240" w:lineRule="auto"/>
    </w:pPr>
    <w:rPr>
      <w:rFonts w:ascii="Tahoma" w:hAnsi="Tahoma" w:cs="Tahoma"/>
      <w:sz w:val="16"/>
      <w:szCs w:val="16"/>
    </w:rPr>
  </w:style>
  <w:style w:type="character" w:customStyle="1" w:styleId="DocumentMapChar">
    <w:name w:val="Document Map Char"/>
    <w:basedOn w:val="DefaultParagraphFont"/>
    <w:link w:val="DocumentMap"/>
    <w:rsid w:val="00460C2E"/>
    <w:rPr>
      <w:rFonts w:ascii="Tahoma" w:hAnsi="Tahoma" w:cs="Tahoma"/>
      <w:sz w:val="16"/>
      <w:szCs w:val="16"/>
    </w:rPr>
  </w:style>
  <w:style w:type="paragraph" w:styleId="E-mailSignature">
    <w:name w:val="E-mail Signature"/>
    <w:basedOn w:val="Normal"/>
    <w:link w:val="E-mailSignatureChar"/>
    <w:rsid w:val="00460C2E"/>
    <w:pPr>
      <w:spacing w:line="240" w:lineRule="auto"/>
    </w:pPr>
  </w:style>
  <w:style w:type="character" w:customStyle="1" w:styleId="E-mailSignatureChar">
    <w:name w:val="E-mail Signature Char"/>
    <w:basedOn w:val="DefaultParagraphFont"/>
    <w:link w:val="E-mailSignature"/>
    <w:rsid w:val="00460C2E"/>
  </w:style>
  <w:style w:type="character" w:styleId="EndnoteReference">
    <w:name w:val="endnote reference"/>
    <w:basedOn w:val="DefaultParagraphFont"/>
    <w:rsid w:val="00460C2E"/>
    <w:rPr>
      <w:vertAlign w:val="superscript"/>
    </w:rPr>
  </w:style>
  <w:style w:type="paragraph" w:styleId="EndnoteText">
    <w:name w:val="endnote text"/>
    <w:basedOn w:val="Normal"/>
    <w:link w:val="EndnoteTextChar"/>
    <w:rsid w:val="00460C2E"/>
    <w:pPr>
      <w:spacing w:line="240" w:lineRule="auto"/>
    </w:pPr>
    <w:rPr>
      <w:sz w:val="20"/>
      <w:szCs w:val="20"/>
    </w:rPr>
  </w:style>
  <w:style w:type="character" w:customStyle="1" w:styleId="EndnoteTextChar">
    <w:name w:val="Endnote Text Char"/>
    <w:basedOn w:val="DefaultParagraphFont"/>
    <w:link w:val="EndnoteText"/>
    <w:rsid w:val="00460C2E"/>
    <w:rPr>
      <w:sz w:val="20"/>
      <w:szCs w:val="20"/>
    </w:rPr>
  </w:style>
  <w:style w:type="paragraph" w:styleId="EnvelopeAddress">
    <w:name w:val="envelope address"/>
    <w:basedOn w:val="Normal"/>
    <w:semiHidden/>
    <w:rsid w:val="00460C2E"/>
    <w:pPr>
      <w:framePr w:w="7920" w:h="1980" w:hRule="exact" w:hSpace="180" w:wrap="auto" w:hAnchor="page" w:xAlign="center" w:yAlign="bottom"/>
      <w:spacing w:line="240" w:lineRule="auto"/>
      <w:ind w:left="2880"/>
    </w:pPr>
    <w:rPr>
      <w:rFonts w:eastAsiaTheme="majorEastAsia" w:cstheme="majorBidi"/>
      <w:sz w:val="24"/>
      <w:szCs w:val="24"/>
    </w:rPr>
  </w:style>
  <w:style w:type="paragraph" w:styleId="EnvelopeReturn">
    <w:name w:val="envelope return"/>
    <w:basedOn w:val="Normal"/>
    <w:semiHidden/>
    <w:rsid w:val="00460C2E"/>
    <w:pPr>
      <w:spacing w:line="240" w:lineRule="auto"/>
    </w:pPr>
    <w:rPr>
      <w:rFonts w:eastAsiaTheme="majorEastAsia" w:cstheme="majorBidi"/>
      <w:sz w:val="20"/>
      <w:szCs w:val="20"/>
    </w:rPr>
  </w:style>
  <w:style w:type="character" w:styleId="FollowedHyperlink">
    <w:name w:val="FollowedHyperlink"/>
    <w:basedOn w:val="DefaultParagraphFont"/>
    <w:rsid w:val="00460C2E"/>
    <w:rPr>
      <w:color w:val="3F9C35"/>
      <w:u w:val="single"/>
    </w:rPr>
  </w:style>
  <w:style w:type="paragraph" w:styleId="HTMLAddress">
    <w:name w:val="HTML Address"/>
    <w:basedOn w:val="Normal"/>
    <w:link w:val="HTMLAddressChar"/>
    <w:unhideWhenUsed/>
    <w:rsid w:val="00460C2E"/>
    <w:pPr>
      <w:spacing w:line="240" w:lineRule="auto"/>
    </w:pPr>
    <w:rPr>
      <w:i/>
      <w:iCs/>
    </w:rPr>
  </w:style>
  <w:style w:type="character" w:customStyle="1" w:styleId="HTMLAddressChar">
    <w:name w:val="HTML Address Char"/>
    <w:basedOn w:val="DefaultParagraphFont"/>
    <w:link w:val="HTMLAddress"/>
    <w:rsid w:val="00460C2E"/>
    <w:rPr>
      <w:i/>
      <w:iCs/>
    </w:rPr>
  </w:style>
  <w:style w:type="character" w:styleId="HTMLCite">
    <w:name w:val="HTML Cite"/>
    <w:basedOn w:val="DefaultParagraphFont"/>
    <w:unhideWhenUsed/>
    <w:rsid w:val="00460C2E"/>
    <w:rPr>
      <w:i/>
      <w:iCs/>
    </w:rPr>
  </w:style>
  <w:style w:type="paragraph" w:styleId="Index1">
    <w:name w:val="index 1"/>
    <w:basedOn w:val="Normal"/>
    <w:next w:val="Normal"/>
    <w:autoRedefine/>
    <w:rsid w:val="00460C2E"/>
    <w:pPr>
      <w:spacing w:line="240" w:lineRule="auto"/>
      <w:ind w:left="220" w:hanging="220"/>
    </w:pPr>
  </w:style>
  <w:style w:type="paragraph" w:styleId="Index2">
    <w:name w:val="index 2"/>
    <w:basedOn w:val="Normal"/>
    <w:next w:val="Normal"/>
    <w:autoRedefine/>
    <w:rsid w:val="00460C2E"/>
    <w:pPr>
      <w:spacing w:line="240" w:lineRule="auto"/>
      <w:ind w:left="440" w:hanging="220"/>
    </w:pPr>
  </w:style>
  <w:style w:type="paragraph" w:styleId="Index3">
    <w:name w:val="index 3"/>
    <w:basedOn w:val="Normal"/>
    <w:next w:val="Normal"/>
    <w:autoRedefine/>
    <w:rsid w:val="00460C2E"/>
    <w:pPr>
      <w:spacing w:line="240" w:lineRule="auto"/>
      <w:ind w:left="660" w:hanging="220"/>
    </w:pPr>
  </w:style>
  <w:style w:type="paragraph" w:styleId="Index4">
    <w:name w:val="index 4"/>
    <w:basedOn w:val="Normal"/>
    <w:next w:val="Normal"/>
    <w:autoRedefine/>
    <w:rsid w:val="00460C2E"/>
    <w:pPr>
      <w:spacing w:line="240" w:lineRule="auto"/>
      <w:ind w:left="880" w:hanging="220"/>
    </w:pPr>
  </w:style>
  <w:style w:type="paragraph" w:styleId="Index5">
    <w:name w:val="index 5"/>
    <w:basedOn w:val="Normal"/>
    <w:next w:val="Normal"/>
    <w:autoRedefine/>
    <w:rsid w:val="00460C2E"/>
    <w:pPr>
      <w:spacing w:line="240" w:lineRule="auto"/>
      <w:ind w:left="1100" w:hanging="220"/>
    </w:pPr>
  </w:style>
  <w:style w:type="paragraph" w:styleId="Index6">
    <w:name w:val="index 6"/>
    <w:basedOn w:val="Normal"/>
    <w:next w:val="Normal"/>
    <w:autoRedefine/>
    <w:rsid w:val="00460C2E"/>
    <w:pPr>
      <w:spacing w:line="240" w:lineRule="auto"/>
      <w:ind w:left="1320" w:hanging="220"/>
    </w:pPr>
  </w:style>
  <w:style w:type="paragraph" w:styleId="Index7">
    <w:name w:val="index 7"/>
    <w:basedOn w:val="Normal"/>
    <w:next w:val="Normal"/>
    <w:autoRedefine/>
    <w:rsid w:val="00460C2E"/>
    <w:pPr>
      <w:spacing w:line="240" w:lineRule="auto"/>
      <w:ind w:left="1540" w:hanging="220"/>
    </w:pPr>
  </w:style>
  <w:style w:type="paragraph" w:styleId="Index8">
    <w:name w:val="index 8"/>
    <w:basedOn w:val="Normal"/>
    <w:next w:val="Normal"/>
    <w:autoRedefine/>
    <w:rsid w:val="00460C2E"/>
    <w:pPr>
      <w:spacing w:line="240" w:lineRule="auto"/>
      <w:ind w:left="1760" w:hanging="220"/>
    </w:pPr>
  </w:style>
  <w:style w:type="paragraph" w:styleId="Index9">
    <w:name w:val="index 9"/>
    <w:basedOn w:val="Normal"/>
    <w:next w:val="Normal"/>
    <w:autoRedefine/>
    <w:rsid w:val="00460C2E"/>
    <w:pPr>
      <w:spacing w:line="240" w:lineRule="auto"/>
      <w:ind w:left="1980" w:hanging="220"/>
    </w:pPr>
  </w:style>
  <w:style w:type="paragraph" w:styleId="IndexHeading">
    <w:name w:val="index heading"/>
    <w:basedOn w:val="Normal"/>
    <w:next w:val="Index1"/>
    <w:rsid w:val="00460C2E"/>
    <w:rPr>
      <w:rFonts w:eastAsiaTheme="majorEastAsia" w:cstheme="majorBidi"/>
      <w:b/>
      <w:bCs/>
    </w:rPr>
  </w:style>
  <w:style w:type="paragraph" w:styleId="List">
    <w:name w:val="List"/>
    <w:basedOn w:val="Normal"/>
    <w:unhideWhenUsed/>
    <w:rsid w:val="00460C2E"/>
    <w:pPr>
      <w:ind w:left="360" w:hanging="360"/>
      <w:contextualSpacing/>
    </w:pPr>
  </w:style>
  <w:style w:type="paragraph" w:styleId="List4">
    <w:name w:val="List 4"/>
    <w:basedOn w:val="Normal"/>
    <w:rsid w:val="00460C2E"/>
    <w:pPr>
      <w:ind w:left="1440" w:hanging="360"/>
      <w:contextualSpacing/>
    </w:pPr>
  </w:style>
  <w:style w:type="paragraph" w:styleId="List5">
    <w:name w:val="List 5"/>
    <w:basedOn w:val="Normal"/>
    <w:rsid w:val="00460C2E"/>
    <w:pPr>
      <w:ind w:left="1800" w:hanging="360"/>
      <w:contextualSpacing/>
    </w:pPr>
  </w:style>
  <w:style w:type="paragraph" w:styleId="ListBullet">
    <w:name w:val="List Bullet"/>
    <w:basedOn w:val="Normal"/>
    <w:rsid w:val="00460C2E"/>
    <w:pPr>
      <w:numPr>
        <w:numId w:val="3"/>
      </w:numPr>
      <w:contextualSpacing/>
    </w:pPr>
  </w:style>
  <w:style w:type="paragraph" w:styleId="ListBullet2">
    <w:name w:val="List Bullet 2"/>
    <w:basedOn w:val="Normal"/>
    <w:rsid w:val="00460C2E"/>
    <w:pPr>
      <w:numPr>
        <w:numId w:val="5"/>
      </w:numPr>
      <w:contextualSpacing/>
    </w:pPr>
  </w:style>
  <w:style w:type="paragraph" w:styleId="ListBullet3">
    <w:name w:val="List Bullet 3"/>
    <w:basedOn w:val="Normal"/>
    <w:rsid w:val="00460C2E"/>
    <w:pPr>
      <w:numPr>
        <w:numId w:val="6"/>
      </w:numPr>
      <w:contextualSpacing/>
    </w:pPr>
  </w:style>
  <w:style w:type="paragraph" w:styleId="ListBullet4">
    <w:name w:val="List Bullet 4"/>
    <w:basedOn w:val="Normal"/>
    <w:rsid w:val="00460C2E"/>
    <w:pPr>
      <w:numPr>
        <w:numId w:val="7"/>
      </w:numPr>
      <w:contextualSpacing/>
    </w:pPr>
  </w:style>
  <w:style w:type="paragraph" w:styleId="ListBullet5">
    <w:name w:val="List Bullet 5"/>
    <w:basedOn w:val="Normal"/>
    <w:rsid w:val="00460C2E"/>
    <w:pPr>
      <w:numPr>
        <w:numId w:val="8"/>
      </w:numPr>
      <w:contextualSpacing/>
    </w:pPr>
  </w:style>
  <w:style w:type="paragraph" w:styleId="ListContinue">
    <w:name w:val="List Continue"/>
    <w:basedOn w:val="Normal"/>
    <w:rsid w:val="00460C2E"/>
    <w:pPr>
      <w:spacing w:after="120"/>
      <w:ind w:left="360"/>
      <w:contextualSpacing/>
    </w:pPr>
  </w:style>
  <w:style w:type="paragraph" w:styleId="ListContinue2">
    <w:name w:val="List Continue 2"/>
    <w:basedOn w:val="Normal"/>
    <w:rsid w:val="00460C2E"/>
    <w:pPr>
      <w:spacing w:after="120"/>
      <w:ind w:left="720"/>
      <w:contextualSpacing/>
    </w:pPr>
  </w:style>
  <w:style w:type="paragraph" w:styleId="ListContinue3">
    <w:name w:val="List Continue 3"/>
    <w:basedOn w:val="Normal"/>
    <w:rsid w:val="00460C2E"/>
    <w:pPr>
      <w:spacing w:after="120"/>
      <w:ind w:left="1080"/>
      <w:contextualSpacing/>
    </w:pPr>
  </w:style>
  <w:style w:type="paragraph" w:styleId="ListContinue4">
    <w:name w:val="List Continue 4"/>
    <w:basedOn w:val="Normal"/>
    <w:rsid w:val="00460C2E"/>
    <w:pPr>
      <w:spacing w:after="120"/>
      <w:ind w:left="1440"/>
      <w:contextualSpacing/>
    </w:pPr>
  </w:style>
  <w:style w:type="paragraph" w:styleId="ListContinue5">
    <w:name w:val="List Continue 5"/>
    <w:basedOn w:val="Normal"/>
    <w:rsid w:val="00460C2E"/>
    <w:pPr>
      <w:spacing w:after="120"/>
      <w:ind w:left="1800"/>
      <w:contextualSpacing/>
    </w:pPr>
  </w:style>
  <w:style w:type="paragraph" w:styleId="ListNumber">
    <w:name w:val="List Number"/>
    <w:basedOn w:val="Normal"/>
    <w:rsid w:val="00460C2E"/>
    <w:pPr>
      <w:numPr>
        <w:numId w:val="4"/>
      </w:numPr>
      <w:contextualSpacing/>
    </w:pPr>
  </w:style>
  <w:style w:type="paragraph" w:styleId="ListNumber2">
    <w:name w:val="List Number 2"/>
    <w:basedOn w:val="Normal"/>
    <w:rsid w:val="00460C2E"/>
    <w:pPr>
      <w:numPr>
        <w:numId w:val="9"/>
      </w:numPr>
      <w:contextualSpacing/>
    </w:pPr>
  </w:style>
  <w:style w:type="paragraph" w:styleId="ListNumber3">
    <w:name w:val="List Number 3"/>
    <w:basedOn w:val="Normal"/>
    <w:rsid w:val="00460C2E"/>
    <w:pPr>
      <w:numPr>
        <w:numId w:val="10"/>
      </w:numPr>
      <w:contextualSpacing/>
    </w:pPr>
  </w:style>
  <w:style w:type="paragraph" w:styleId="ListNumber4">
    <w:name w:val="List Number 4"/>
    <w:basedOn w:val="Normal"/>
    <w:rsid w:val="00460C2E"/>
    <w:pPr>
      <w:numPr>
        <w:numId w:val="11"/>
      </w:numPr>
      <w:contextualSpacing/>
    </w:pPr>
  </w:style>
  <w:style w:type="paragraph" w:styleId="ListNumber5">
    <w:name w:val="List Number 5"/>
    <w:basedOn w:val="Normal"/>
    <w:rsid w:val="00460C2E"/>
    <w:pPr>
      <w:numPr>
        <w:numId w:val="12"/>
      </w:numPr>
      <w:contextualSpacing/>
    </w:pPr>
  </w:style>
  <w:style w:type="paragraph" w:styleId="MessageHeader">
    <w:name w:val="Message Header"/>
    <w:basedOn w:val="Normal"/>
    <w:link w:val="MessageHeaderChar"/>
    <w:unhideWhenUsed/>
    <w:rsid w:val="00460C2E"/>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eastAsiaTheme="majorEastAsia" w:cstheme="majorBidi"/>
      <w:sz w:val="24"/>
      <w:szCs w:val="24"/>
    </w:rPr>
  </w:style>
  <w:style w:type="character" w:customStyle="1" w:styleId="MessageHeaderChar">
    <w:name w:val="Message Header Char"/>
    <w:basedOn w:val="DefaultParagraphFont"/>
    <w:link w:val="MessageHeader"/>
    <w:rsid w:val="00460C2E"/>
    <w:rPr>
      <w:rFonts w:eastAsiaTheme="majorEastAsia" w:cstheme="majorBidi"/>
      <w:sz w:val="24"/>
      <w:szCs w:val="24"/>
      <w:shd w:val="pct20" w:color="auto" w:fill="auto"/>
    </w:rPr>
  </w:style>
  <w:style w:type="paragraph" w:styleId="NormalWeb">
    <w:name w:val="Normal (Web)"/>
    <w:basedOn w:val="Normal"/>
    <w:rsid w:val="00460C2E"/>
    <w:rPr>
      <w:sz w:val="24"/>
      <w:szCs w:val="24"/>
    </w:rPr>
  </w:style>
  <w:style w:type="paragraph" w:styleId="NormalIndent">
    <w:name w:val="Normal Indent"/>
    <w:basedOn w:val="Normal"/>
    <w:rsid w:val="00460C2E"/>
    <w:pPr>
      <w:ind w:left="720"/>
    </w:pPr>
  </w:style>
  <w:style w:type="paragraph" w:styleId="Subtitle">
    <w:name w:val="Subtitle"/>
    <w:basedOn w:val="Normal"/>
    <w:next w:val="Normal"/>
    <w:link w:val="SubtitleChar"/>
    <w:rsid w:val="00460C2E"/>
    <w:pPr>
      <w:numPr>
        <w:ilvl w:val="1"/>
      </w:numPr>
    </w:pPr>
    <w:rPr>
      <w:rFonts w:eastAsiaTheme="majorEastAsia" w:cstheme="majorBidi"/>
      <w:i/>
      <w:iCs/>
      <w:color w:val="003591" w:themeColor="accent1"/>
      <w:spacing w:val="15"/>
      <w:sz w:val="24"/>
      <w:szCs w:val="24"/>
    </w:rPr>
  </w:style>
  <w:style w:type="character" w:customStyle="1" w:styleId="SubtitleChar">
    <w:name w:val="Subtitle Char"/>
    <w:basedOn w:val="DefaultParagraphFont"/>
    <w:link w:val="Subtitle"/>
    <w:rsid w:val="00460C2E"/>
    <w:rPr>
      <w:rFonts w:eastAsiaTheme="majorEastAsia" w:cstheme="majorBidi"/>
      <w:i/>
      <w:iCs/>
      <w:color w:val="003591" w:themeColor="accent1"/>
      <w:spacing w:val="15"/>
      <w:sz w:val="24"/>
      <w:szCs w:val="24"/>
    </w:rPr>
  </w:style>
  <w:style w:type="paragraph" w:styleId="Title">
    <w:name w:val="Title"/>
    <w:basedOn w:val="Normal"/>
    <w:next w:val="Normal"/>
    <w:link w:val="TitleChar"/>
    <w:rsid w:val="00460C2E"/>
    <w:pPr>
      <w:pBdr>
        <w:bottom w:val="single" w:sz="8" w:space="4" w:color="003591" w:themeColor="accent1"/>
      </w:pBdr>
      <w:spacing w:after="300" w:line="240" w:lineRule="auto"/>
      <w:contextualSpacing/>
    </w:pPr>
    <w:rPr>
      <w:rFonts w:eastAsiaTheme="majorEastAsia" w:cstheme="majorBidi"/>
      <w:color w:val="00276C" w:themeColor="text2" w:themeShade="BF"/>
      <w:spacing w:val="5"/>
      <w:kern w:val="28"/>
      <w:sz w:val="52"/>
      <w:szCs w:val="52"/>
    </w:rPr>
  </w:style>
  <w:style w:type="character" w:customStyle="1" w:styleId="TitleChar">
    <w:name w:val="Title Char"/>
    <w:basedOn w:val="DefaultParagraphFont"/>
    <w:link w:val="Title"/>
    <w:rsid w:val="00460C2E"/>
    <w:rPr>
      <w:rFonts w:eastAsiaTheme="majorEastAsia" w:cstheme="majorBidi"/>
      <w:color w:val="00276C" w:themeColor="text2" w:themeShade="BF"/>
      <w:spacing w:val="5"/>
      <w:kern w:val="28"/>
      <w:sz w:val="52"/>
      <w:szCs w:val="52"/>
    </w:rPr>
  </w:style>
  <w:style w:type="paragraph" w:styleId="TOAHeading">
    <w:name w:val="toa heading"/>
    <w:basedOn w:val="Normal"/>
    <w:next w:val="Normal"/>
    <w:rsid w:val="00460C2E"/>
    <w:pPr>
      <w:spacing w:before="120"/>
    </w:pPr>
    <w:rPr>
      <w:rFonts w:eastAsiaTheme="majorEastAsia" w:cstheme="majorBidi"/>
      <w:b/>
      <w:bCs/>
      <w:color w:val="0091C4"/>
      <w:sz w:val="24"/>
      <w:szCs w:val="24"/>
    </w:rPr>
  </w:style>
  <w:style w:type="paragraph" w:styleId="TOCHeading">
    <w:name w:val="TOC Heading"/>
    <w:basedOn w:val="Heading1"/>
    <w:next w:val="Normal"/>
    <w:uiPriority w:val="39"/>
    <w:semiHidden/>
    <w:unhideWhenUsed/>
    <w:qFormat/>
    <w:rsid w:val="00460C2E"/>
    <w:pPr>
      <w:keepLines/>
      <w:numPr>
        <w:numId w:val="0"/>
      </w:numPr>
      <w:spacing w:before="480" w:after="0"/>
      <w:outlineLvl w:val="9"/>
    </w:pPr>
    <w:rPr>
      <w:rFonts w:eastAsiaTheme="majorEastAsia" w:cstheme="majorBidi"/>
      <w:bCs/>
      <w:color w:val="00276C" w:themeColor="accent1" w:themeShade="BF"/>
      <w:kern w:val="0"/>
      <w:sz w:val="28"/>
      <w:szCs w:val="28"/>
    </w:rPr>
  </w:style>
  <w:style w:type="paragraph" w:customStyle="1" w:styleId="CharChar3CharCharChar">
    <w:name w:val="Char Char3 Char Char Char"/>
    <w:basedOn w:val="Normal"/>
    <w:rsid w:val="00460C2E"/>
    <w:pPr>
      <w:spacing w:after="160" w:line="240" w:lineRule="exact"/>
    </w:pPr>
    <w:rPr>
      <w:rFonts w:ascii="Verdana" w:hAnsi="Verdana"/>
      <w:sz w:val="20"/>
      <w:szCs w:val="20"/>
    </w:rPr>
  </w:style>
  <w:style w:type="paragraph" w:customStyle="1" w:styleId="ProjectTitle">
    <w:name w:val="Project Title"/>
    <w:basedOn w:val="Normal"/>
    <w:next w:val="ParaText"/>
    <w:rsid w:val="003038B9"/>
    <w:pPr>
      <w:spacing w:before="120" w:line="240" w:lineRule="auto"/>
    </w:pPr>
    <w:rPr>
      <w:rFonts w:eastAsiaTheme="minorEastAsia"/>
      <w:b/>
      <w:color w:val="0F204B" w:themeColor="accent4"/>
      <w:lang w:eastAsia="zh-CN"/>
    </w:rPr>
  </w:style>
  <w:style w:type="paragraph" w:customStyle="1" w:styleId="Name">
    <w:name w:val="Name"/>
    <w:basedOn w:val="Normal"/>
    <w:next w:val="Normal"/>
    <w:rsid w:val="00E37F49"/>
    <w:pPr>
      <w:pageBreakBefore/>
      <w:tabs>
        <w:tab w:val="center" w:pos="4320"/>
        <w:tab w:val="right" w:pos="8640"/>
      </w:tabs>
      <w:spacing w:after="240" w:line="240" w:lineRule="auto"/>
    </w:pPr>
    <w:rPr>
      <w:rFonts w:asciiTheme="majorHAnsi" w:eastAsiaTheme="minorEastAsia" w:hAnsiTheme="majorHAnsi"/>
      <w:color w:val="666666"/>
      <w:sz w:val="36"/>
      <w:szCs w:val="40"/>
      <w:lang w:eastAsia="zh-CN"/>
    </w:rPr>
  </w:style>
  <w:style w:type="paragraph" w:customStyle="1" w:styleId="ResumeBullet">
    <w:name w:val="Resume Bullet"/>
    <w:basedOn w:val="Normal"/>
    <w:rsid w:val="001E49D3"/>
    <w:pPr>
      <w:spacing w:before="60" w:after="60" w:line="240" w:lineRule="atLeast"/>
      <w:ind w:left="1080" w:hanging="360"/>
    </w:pPr>
    <w:rPr>
      <w:rFonts w:asciiTheme="minorHAnsi" w:hAnsiTheme="minorHAnsi"/>
    </w:rPr>
  </w:style>
  <w:style w:type="paragraph" w:customStyle="1" w:styleId="ResumeHeading">
    <w:name w:val="Resume Heading"/>
    <w:basedOn w:val="Normal"/>
    <w:rsid w:val="00E37F49"/>
    <w:pPr>
      <w:keepNext/>
      <w:spacing w:before="240" w:after="60" w:line="240" w:lineRule="auto"/>
    </w:pPr>
    <w:rPr>
      <w:rFonts w:asciiTheme="minorHAnsi" w:eastAsiaTheme="minorEastAsia" w:hAnsiTheme="minorHAnsi"/>
      <w:b/>
      <w:color w:val="003591" w:themeColor="text2"/>
      <w:sz w:val="26"/>
      <w:szCs w:val="24"/>
      <w:lang w:eastAsia="zh-CN"/>
    </w:rPr>
  </w:style>
  <w:style w:type="paragraph" w:customStyle="1" w:styleId="Resumebulletindent">
    <w:name w:val="Resume bullet indent"/>
    <w:basedOn w:val="Normal"/>
    <w:rsid w:val="00E37F49"/>
    <w:pPr>
      <w:numPr>
        <w:numId w:val="18"/>
      </w:numPr>
      <w:spacing w:before="60" w:after="60" w:line="240" w:lineRule="atLeast"/>
    </w:pPr>
    <w:rPr>
      <w:rFonts w:asciiTheme="minorHAnsi" w:eastAsiaTheme="minorEastAsia" w:hAnsiTheme="minorHAnsi"/>
      <w:szCs w:val="20"/>
      <w:lang w:eastAsia="zh-CN"/>
    </w:rPr>
  </w:style>
  <w:style w:type="paragraph" w:customStyle="1" w:styleId="Resumetext">
    <w:name w:val="Resume text"/>
    <w:basedOn w:val="Normal"/>
    <w:rsid w:val="001E49D3"/>
    <w:pPr>
      <w:tabs>
        <w:tab w:val="left" w:pos="-720"/>
      </w:tabs>
      <w:spacing w:before="120" w:line="240" w:lineRule="atLeast"/>
    </w:pPr>
    <w:rPr>
      <w:rFonts w:asciiTheme="minorHAnsi" w:hAnsiTheme="minorHAnsi"/>
      <w:szCs w:val="20"/>
    </w:rPr>
  </w:style>
  <w:style w:type="paragraph" w:customStyle="1" w:styleId="ResumeHeadingindent">
    <w:name w:val="Resume Heading indent"/>
    <w:basedOn w:val="Normal"/>
    <w:rsid w:val="00E37F49"/>
    <w:pPr>
      <w:keepLines/>
      <w:tabs>
        <w:tab w:val="left" w:pos="-720"/>
      </w:tabs>
      <w:spacing w:before="180" w:after="120" w:line="240" w:lineRule="atLeast"/>
      <w:ind w:left="360"/>
    </w:pPr>
    <w:rPr>
      <w:rFonts w:asciiTheme="minorHAnsi" w:eastAsiaTheme="minorEastAsia" w:hAnsiTheme="minorHAnsi"/>
      <w:b/>
      <w:szCs w:val="20"/>
      <w:lang w:eastAsia="zh-CN"/>
    </w:rPr>
  </w:style>
  <w:style w:type="paragraph" w:customStyle="1" w:styleId="Resumetext2">
    <w:name w:val="Resume text 2"/>
    <w:basedOn w:val="Resumetext"/>
    <w:rsid w:val="001E49D3"/>
    <w:pPr>
      <w:spacing w:before="0"/>
    </w:pPr>
  </w:style>
  <w:style w:type="paragraph" w:customStyle="1" w:styleId="Resumetextindent">
    <w:name w:val="Resume text indent"/>
    <w:basedOn w:val="Resumetext"/>
    <w:rsid w:val="001E49D3"/>
    <w:pPr>
      <w:ind w:left="360"/>
    </w:pPr>
  </w:style>
  <w:style w:type="paragraph" w:styleId="NoSpacing">
    <w:name w:val="No Spacing"/>
    <w:uiPriority w:val="1"/>
    <w:qFormat/>
    <w:rsid w:val="00933580"/>
    <w:pPr>
      <w:spacing w:line="240" w:lineRule="auto"/>
    </w:pPr>
    <w:rPr>
      <w:rFonts w:asciiTheme="minorHAnsi" w:eastAsiaTheme="minorHAnsi" w:hAnsiTheme="minorHAnsi" w:cstheme="minorBidi"/>
      <w:color w:val="003591" w:themeColor="text2"/>
      <w:sz w:val="20"/>
      <w:szCs w:val="20"/>
    </w:rPr>
  </w:style>
  <w:style w:type="paragraph" w:customStyle="1" w:styleId="pJ">
    <w:name w:val="pJ"/>
    <w:next w:val="Normal"/>
    <w:rsid w:val="00E72B30"/>
    <w:pPr>
      <w:spacing w:after="130" w:line="320" w:lineRule="atLeast"/>
      <w:ind w:left="720" w:hanging="432"/>
      <w:jc w:val="both"/>
    </w:pPr>
    <w:rPr>
      <w:rFonts w:ascii="Times New Roman" w:hAnsi="Times New Roman"/>
      <w:sz w:val="24"/>
      <w:szCs w:val="24"/>
    </w:rPr>
  </w:style>
  <w:style w:type="numbering" w:customStyle="1" w:styleId="CnAListBullets">
    <w:name w:val="CnAListBullets"/>
    <w:uiPriority w:val="99"/>
    <w:rsid w:val="00E72B30"/>
    <w:pPr>
      <w:numPr>
        <w:numId w:val="20"/>
      </w:numPr>
    </w:pPr>
  </w:style>
  <w:style w:type="character" w:customStyle="1" w:styleId="FootnoteTextChar">
    <w:name w:val="Footnote Text Char"/>
    <w:aliases w:val="DFSListFootnote Char"/>
    <w:basedOn w:val="DefaultParagraphFont"/>
    <w:link w:val="FootnoteText"/>
    <w:uiPriority w:val="99"/>
    <w:rsid w:val="00E72B30"/>
    <w:rPr>
      <w:rFonts w:ascii="Calibri" w:hAnsi="Calibri"/>
      <w:sz w:val="20"/>
      <w:szCs w:val="20"/>
    </w:rPr>
  </w:style>
  <w:style w:type="character" w:styleId="CommentReference">
    <w:name w:val="annotation reference"/>
    <w:basedOn w:val="DefaultParagraphFont"/>
    <w:semiHidden/>
    <w:unhideWhenUsed/>
    <w:rsid w:val="004D6E18"/>
    <w:rPr>
      <w:sz w:val="16"/>
      <w:szCs w:val="16"/>
    </w:rPr>
  </w:style>
  <w:style w:type="character" w:styleId="PlaceholderText">
    <w:name w:val="Placeholder Text"/>
    <w:basedOn w:val="DefaultParagraphFont"/>
    <w:uiPriority w:val="99"/>
    <w:semiHidden/>
    <w:rsid w:val="0050356F"/>
    <w:rPr>
      <w:color w:val="808080"/>
    </w:rPr>
  </w:style>
  <w:style w:type="paragraph" w:customStyle="1" w:styleId="Default">
    <w:name w:val="Default"/>
    <w:rsid w:val="004444FE"/>
    <w:pPr>
      <w:autoSpaceDE w:val="0"/>
      <w:autoSpaceDN w:val="0"/>
      <w:adjustRightInd w:val="0"/>
      <w:spacing w:line="240" w:lineRule="auto"/>
    </w:pPr>
    <w:rPr>
      <w:rFonts w:ascii="Times New Roman" w:eastAsiaTheme="minorEastAsia" w:hAnsi="Times New Roman"/>
      <w:color w:val="000000"/>
      <w:sz w:val="24"/>
      <w:szCs w:val="24"/>
      <w:lang w:eastAsia="zh-CN"/>
    </w:rPr>
  </w:style>
  <w:style w:type="character" w:customStyle="1" w:styleId="CaptionChar">
    <w:name w:val="Caption Char"/>
    <w:aliases w:val="Table Caption Char Char,Table Caption Char1"/>
    <w:link w:val="Caption"/>
    <w:locked/>
    <w:rsid w:val="004444FE"/>
    <w:rPr>
      <w:rFonts w:ascii="Calibri" w:hAnsi="Calibri"/>
      <w:b/>
    </w:rPr>
  </w:style>
  <w:style w:type="table" w:styleId="LightList-Accent2">
    <w:name w:val="Light List Accent 2"/>
    <w:basedOn w:val="TableNormal"/>
    <w:uiPriority w:val="61"/>
    <w:rsid w:val="004444FE"/>
    <w:pPr>
      <w:spacing w:line="240" w:lineRule="auto"/>
    </w:pPr>
    <w:tblPr>
      <w:tblStyleRowBandSize w:val="1"/>
      <w:tblStyleColBandSize w:val="1"/>
      <w:tblBorders>
        <w:top w:val="single" w:sz="8" w:space="0" w:color="3F9C35" w:themeColor="accent2"/>
        <w:left w:val="single" w:sz="8" w:space="0" w:color="3F9C35" w:themeColor="accent2"/>
        <w:bottom w:val="single" w:sz="8" w:space="0" w:color="3F9C35" w:themeColor="accent2"/>
        <w:right w:val="single" w:sz="8" w:space="0" w:color="3F9C35" w:themeColor="accent2"/>
      </w:tblBorders>
    </w:tblPr>
    <w:tblStylePr w:type="firstRow">
      <w:pPr>
        <w:spacing w:before="0" w:after="0" w:line="240" w:lineRule="auto"/>
      </w:pPr>
      <w:rPr>
        <w:b/>
        <w:bCs/>
        <w:color w:val="FFFFFF" w:themeColor="background1"/>
      </w:rPr>
      <w:tblPr/>
      <w:tcPr>
        <w:shd w:val="clear" w:color="auto" w:fill="3F9C35" w:themeFill="accent2"/>
      </w:tcPr>
    </w:tblStylePr>
    <w:tblStylePr w:type="lastRow">
      <w:pPr>
        <w:spacing w:before="0" w:after="0" w:line="240" w:lineRule="auto"/>
      </w:pPr>
      <w:rPr>
        <w:b/>
        <w:bCs/>
      </w:rPr>
      <w:tblPr/>
      <w:tcPr>
        <w:tcBorders>
          <w:top w:val="double" w:sz="6" w:space="0" w:color="3F9C35" w:themeColor="accent2"/>
          <w:left w:val="single" w:sz="8" w:space="0" w:color="3F9C35" w:themeColor="accent2"/>
          <w:bottom w:val="single" w:sz="8" w:space="0" w:color="3F9C35" w:themeColor="accent2"/>
          <w:right w:val="single" w:sz="8" w:space="0" w:color="3F9C35" w:themeColor="accent2"/>
        </w:tcBorders>
      </w:tcPr>
    </w:tblStylePr>
    <w:tblStylePr w:type="firstCol">
      <w:rPr>
        <w:b/>
        <w:bCs/>
      </w:rPr>
    </w:tblStylePr>
    <w:tblStylePr w:type="lastCol">
      <w:rPr>
        <w:b/>
        <w:bCs/>
      </w:rPr>
    </w:tblStylePr>
    <w:tblStylePr w:type="band1Vert">
      <w:tblPr/>
      <w:tcPr>
        <w:tcBorders>
          <w:top w:val="single" w:sz="8" w:space="0" w:color="3F9C35" w:themeColor="accent2"/>
          <w:left w:val="single" w:sz="8" w:space="0" w:color="3F9C35" w:themeColor="accent2"/>
          <w:bottom w:val="single" w:sz="8" w:space="0" w:color="3F9C35" w:themeColor="accent2"/>
          <w:right w:val="single" w:sz="8" w:space="0" w:color="3F9C35" w:themeColor="accent2"/>
        </w:tcBorders>
      </w:tcPr>
    </w:tblStylePr>
    <w:tblStylePr w:type="band1Horz">
      <w:tblPr/>
      <w:tcPr>
        <w:tcBorders>
          <w:top w:val="single" w:sz="8" w:space="0" w:color="3F9C35" w:themeColor="accent2"/>
          <w:left w:val="single" w:sz="8" w:space="0" w:color="3F9C35" w:themeColor="accent2"/>
          <w:bottom w:val="single" w:sz="8" w:space="0" w:color="3F9C35" w:themeColor="accent2"/>
          <w:right w:val="single" w:sz="8" w:space="0" w:color="3F9C35" w:themeColor="accent2"/>
        </w:tcBorders>
      </w:tcPr>
    </w:tblStylePr>
  </w:style>
  <w:style w:type="paragraph" w:styleId="Revision">
    <w:name w:val="Revision"/>
    <w:hidden/>
    <w:uiPriority w:val="99"/>
    <w:semiHidden/>
    <w:rsid w:val="00A53E5B"/>
    <w:pPr>
      <w:spacing w:line="240" w:lineRule="auto"/>
    </w:pPr>
    <w:rPr>
      <w:rFonts w:ascii="Calibri" w:hAnsi="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eorgia" w:eastAsia="Times New Roman" w:hAnsi="Georgia" w:cs="Times New Roman"/>
        <w:sz w:val="22"/>
        <w:szCs w:val="22"/>
        <w:lang w:val="en-US" w:eastAsia="en-US" w:bidi="ar-SA"/>
      </w:rPr>
    </w:rPrDefault>
    <w:pPrDefault>
      <w:pPr>
        <w:spacing w:line="288" w:lineRule="auto"/>
      </w:pPr>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lsdException w:name="heading 4" w:semiHidden="0" w:unhideWhenUsed="0"/>
    <w:lsdException w:name="heading 5" w:semiHidden="0" w:unhideWhenUsed="0"/>
    <w:lsdException w:name="heading 6" w:semiHidden="0" w:unhideWhenUsed="0"/>
    <w:lsdException w:name="heading 7" w:qFormat="1"/>
    <w:lsdException w:name="toc 1" w:uiPriority="39"/>
    <w:lsdException w:name="toc 2" w:uiPriority="39"/>
    <w:lsdException w:name="toc 3" w:uiPriority="39"/>
    <w:lsdException w:name="footnote text" w:uiPriority="99"/>
    <w:lsdException w:name="header" w:uiPriority="99"/>
    <w:lsdException w:name="footer" w:uiPriority="99" w:qFormat="1"/>
    <w:lsdException w:name="caption" w:qFormat="1"/>
    <w:lsdException w:name="table of figures" w:uiPriority="99"/>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Body Text" w:uiPriority="1" w:qFormat="1"/>
    <w:lsdException w:name="Subtitle" w:semiHidden="0" w:unhideWhenUsed="0"/>
    <w:lsdException w:name="Date" w:semiHidden="0" w:unhideWhenUsed="0"/>
    <w:lsdException w:name="Body Text First Indent" w:unhideWhenUsed="0"/>
    <w:lsdException w:name="Hyperlink" w:uiPriority="99"/>
    <w:lsdException w:name="Strong" w:semiHidden="0" w:unhideWhenUsed="0"/>
    <w:lsdException w:name="Emphasis" w:semiHidden="0" w:unhideWhenUsed="0"/>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378FE"/>
    <w:rPr>
      <w:rFonts w:ascii="Calibri" w:hAnsi="Calibri"/>
    </w:rPr>
  </w:style>
  <w:style w:type="paragraph" w:styleId="Heading1">
    <w:name w:val="heading 1"/>
    <w:basedOn w:val="Normal"/>
    <w:next w:val="ParaText"/>
    <w:qFormat/>
    <w:rsid w:val="00BD4FE3"/>
    <w:pPr>
      <w:keepNext/>
      <w:numPr>
        <w:numId w:val="1"/>
      </w:numPr>
      <w:spacing w:before="240" w:after="120"/>
      <w:outlineLvl w:val="0"/>
    </w:pPr>
    <w:rPr>
      <w:b/>
      <w:color w:val="3F9C35" w:themeColor="accent2"/>
      <w:kern w:val="28"/>
      <w:sz w:val="34"/>
      <w:szCs w:val="34"/>
    </w:rPr>
  </w:style>
  <w:style w:type="paragraph" w:styleId="Heading2">
    <w:name w:val="heading 2"/>
    <w:basedOn w:val="Normal"/>
    <w:next w:val="ParaText"/>
    <w:qFormat/>
    <w:rsid w:val="00BD4FE3"/>
    <w:pPr>
      <w:keepNext/>
      <w:numPr>
        <w:ilvl w:val="1"/>
        <w:numId w:val="1"/>
      </w:numPr>
      <w:spacing w:before="240" w:after="120"/>
      <w:outlineLvl w:val="1"/>
    </w:pPr>
    <w:rPr>
      <w:b/>
      <w:color w:val="3F9C35" w:themeColor="accent2"/>
      <w:sz w:val="30"/>
      <w:szCs w:val="30"/>
    </w:rPr>
  </w:style>
  <w:style w:type="paragraph" w:styleId="Heading3">
    <w:name w:val="heading 3"/>
    <w:basedOn w:val="Normal"/>
    <w:next w:val="ParaText"/>
    <w:rsid w:val="00BD4FE3"/>
    <w:pPr>
      <w:keepNext/>
      <w:numPr>
        <w:ilvl w:val="2"/>
        <w:numId w:val="1"/>
      </w:numPr>
      <w:spacing w:before="240"/>
      <w:outlineLvl w:val="2"/>
    </w:pPr>
    <w:rPr>
      <w:b/>
      <w:color w:val="3F9C35" w:themeColor="accent2"/>
      <w:sz w:val="26"/>
      <w:szCs w:val="26"/>
    </w:rPr>
  </w:style>
  <w:style w:type="paragraph" w:styleId="Heading4">
    <w:name w:val="heading 4"/>
    <w:basedOn w:val="Normal"/>
    <w:next w:val="ParaText"/>
    <w:rsid w:val="00BD4FE3"/>
    <w:pPr>
      <w:keepNext/>
      <w:numPr>
        <w:ilvl w:val="3"/>
        <w:numId w:val="1"/>
      </w:numPr>
      <w:spacing w:before="240"/>
      <w:outlineLvl w:val="3"/>
    </w:pPr>
    <w:rPr>
      <w:b/>
      <w:color w:val="3F9C35" w:themeColor="accent2"/>
    </w:rPr>
  </w:style>
  <w:style w:type="paragraph" w:styleId="Heading5">
    <w:name w:val="heading 5"/>
    <w:basedOn w:val="Normal"/>
    <w:next w:val="ParaText"/>
    <w:rsid w:val="00BD4FE3"/>
    <w:pPr>
      <w:numPr>
        <w:ilvl w:val="4"/>
        <w:numId w:val="1"/>
      </w:numPr>
      <w:spacing w:before="240"/>
      <w:outlineLvl w:val="4"/>
    </w:pPr>
    <w:rPr>
      <w:b/>
      <w:color w:val="3F9C35" w:themeColor="accent2"/>
    </w:rPr>
  </w:style>
  <w:style w:type="paragraph" w:styleId="Heading6">
    <w:name w:val="heading 6"/>
    <w:basedOn w:val="Normal"/>
    <w:next w:val="ParaText"/>
    <w:semiHidden/>
    <w:rsid w:val="00460C2E"/>
    <w:pPr>
      <w:numPr>
        <w:ilvl w:val="5"/>
        <w:numId w:val="1"/>
      </w:numPr>
      <w:spacing w:after="240"/>
      <w:outlineLvl w:val="5"/>
    </w:pPr>
    <w:rPr>
      <w:b/>
    </w:rPr>
  </w:style>
  <w:style w:type="paragraph" w:styleId="Heading7">
    <w:name w:val="heading 7"/>
    <w:basedOn w:val="Normal"/>
    <w:next w:val="ParaText"/>
    <w:qFormat/>
    <w:rsid w:val="000B1D76"/>
    <w:pPr>
      <w:keepNext/>
      <w:numPr>
        <w:numId w:val="2"/>
      </w:numPr>
      <w:spacing w:before="240" w:after="120"/>
      <w:outlineLvl w:val="6"/>
    </w:pPr>
    <w:rPr>
      <w:b/>
      <w:color w:val="3F9C35" w:themeColor="accent2"/>
      <w:kern w:val="28"/>
      <w:sz w:val="34"/>
      <w:szCs w:val="34"/>
    </w:rPr>
  </w:style>
  <w:style w:type="paragraph" w:styleId="Heading8">
    <w:name w:val="heading 8"/>
    <w:basedOn w:val="Normal"/>
    <w:next w:val="ParaText"/>
    <w:rsid w:val="000B1D76"/>
    <w:pPr>
      <w:keepNext/>
      <w:numPr>
        <w:ilvl w:val="1"/>
        <w:numId w:val="2"/>
      </w:numPr>
      <w:spacing w:before="240" w:after="120"/>
      <w:outlineLvl w:val="7"/>
    </w:pPr>
    <w:rPr>
      <w:b/>
      <w:color w:val="3F9C35" w:themeColor="accent2"/>
      <w:sz w:val="30"/>
      <w:szCs w:val="30"/>
    </w:rPr>
  </w:style>
  <w:style w:type="paragraph" w:styleId="Heading9">
    <w:name w:val="heading 9"/>
    <w:basedOn w:val="Normal"/>
    <w:next w:val="ParaText"/>
    <w:rsid w:val="000B1D76"/>
    <w:pPr>
      <w:keepNext/>
      <w:numPr>
        <w:ilvl w:val="2"/>
        <w:numId w:val="2"/>
      </w:numPr>
      <w:spacing w:before="240"/>
      <w:outlineLvl w:val="8"/>
    </w:pPr>
    <w:rPr>
      <w:b/>
      <w:color w:val="3F9C35" w:themeColor="accent2"/>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Text">
    <w:name w:val="ParaText"/>
    <w:basedOn w:val="Normal"/>
    <w:link w:val="ParaTextChar"/>
    <w:qFormat/>
    <w:rsid w:val="00A378FE"/>
    <w:pPr>
      <w:spacing w:before="240" w:after="120"/>
    </w:pPr>
  </w:style>
  <w:style w:type="paragraph" w:styleId="Header">
    <w:name w:val="header"/>
    <w:basedOn w:val="Normal"/>
    <w:link w:val="HeaderChar"/>
    <w:uiPriority w:val="99"/>
    <w:rsid w:val="00460C2E"/>
    <w:pPr>
      <w:tabs>
        <w:tab w:val="center" w:pos="4320"/>
        <w:tab w:val="right" w:pos="8640"/>
      </w:tabs>
      <w:spacing w:after="240"/>
      <w:jc w:val="both"/>
    </w:pPr>
    <w:rPr>
      <w:b/>
      <w:sz w:val="34"/>
    </w:rPr>
  </w:style>
  <w:style w:type="paragraph" w:styleId="Footer">
    <w:name w:val="footer"/>
    <w:basedOn w:val="Normal"/>
    <w:link w:val="FooterChar"/>
    <w:uiPriority w:val="99"/>
    <w:qFormat/>
    <w:rsid w:val="000B1D76"/>
    <w:pPr>
      <w:pBdr>
        <w:top w:val="single" w:sz="12" w:space="1" w:color="666666"/>
      </w:pBdr>
      <w:tabs>
        <w:tab w:val="right" w:pos="9360"/>
      </w:tabs>
      <w:spacing w:line="240" w:lineRule="auto"/>
    </w:pPr>
    <w:rPr>
      <w:color w:val="3F9C35" w:themeColor="accent2"/>
      <w:sz w:val="18"/>
      <w:szCs w:val="18"/>
    </w:rPr>
  </w:style>
  <w:style w:type="character" w:styleId="PageNumber">
    <w:name w:val="page number"/>
    <w:basedOn w:val="DefaultParagraphFont"/>
    <w:rsid w:val="00460C2E"/>
    <w:rPr>
      <w:rFonts w:ascii="Georgia" w:hAnsi="Georgia"/>
      <w:color w:val="666666"/>
      <w:sz w:val="18"/>
    </w:rPr>
  </w:style>
  <w:style w:type="paragraph" w:styleId="TOC1">
    <w:name w:val="toc 1"/>
    <w:basedOn w:val="Normal"/>
    <w:next w:val="Normal"/>
    <w:autoRedefine/>
    <w:uiPriority w:val="39"/>
    <w:rsid w:val="00460C2E"/>
    <w:pPr>
      <w:tabs>
        <w:tab w:val="left" w:pos="432"/>
        <w:tab w:val="right" w:leader="dot" w:pos="9360"/>
      </w:tabs>
      <w:ind w:left="432" w:hanging="432"/>
    </w:pPr>
    <w:rPr>
      <w:rFonts w:cs="Arial"/>
      <w:noProof/>
    </w:rPr>
  </w:style>
  <w:style w:type="paragraph" w:customStyle="1" w:styleId="TOCTitle">
    <w:name w:val="TOC Title"/>
    <w:basedOn w:val="Header"/>
    <w:rsid w:val="00A378FE"/>
    <w:pPr>
      <w:spacing w:before="360" w:after="400"/>
    </w:pPr>
    <w:rPr>
      <w:color w:val="3F9C35" w:themeColor="accent2"/>
      <w:sz w:val="42"/>
      <w:szCs w:val="42"/>
    </w:rPr>
  </w:style>
  <w:style w:type="paragraph" w:styleId="TOC9">
    <w:name w:val="toc 9"/>
    <w:basedOn w:val="Normal"/>
    <w:next w:val="Normal"/>
    <w:autoRedefine/>
    <w:semiHidden/>
    <w:rsid w:val="00460C2E"/>
    <w:pPr>
      <w:tabs>
        <w:tab w:val="right" w:pos="1728"/>
        <w:tab w:val="right" w:leader="dot" w:pos="9360"/>
      </w:tabs>
    </w:pPr>
    <w:rPr>
      <w:rFonts w:cs="Arial"/>
      <w:noProof/>
    </w:rPr>
  </w:style>
  <w:style w:type="paragraph" w:customStyle="1" w:styleId="ExhLst">
    <w:name w:val="Exh_Lst"/>
    <w:basedOn w:val="Normal"/>
    <w:rsid w:val="00A378FE"/>
    <w:pPr>
      <w:spacing w:after="240"/>
    </w:pPr>
    <w:rPr>
      <w:b/>
      <w:color w:val="3F9C35" w:themeColor="accent2"/>
      <w:sz w:val="26"/>
    </w:rPr>
  </w:style>
  <w:style w:type="paragraph" w:customStyle="1" w:styleId="List1">
    <w:name w:val="List 1"/>
    <w:basedOn w:val="Normal"/>
    <w:rsid w:val="00460C2E"/>
    <w:pPr>
      <w:numPr>
        <w:numId w:val="13"/>
      </w:numPr>
      <w:tabs>
        <w:tab w:val="left" w:pos="360"/>
      </w:tabs>
      <w:spacing w:line="300" w:lineRule="auto"/>
      <w:outlineLvl w:val="0"/>
    </w:pPr>
  </w:style>
  <w:style w:type="paragraph" w:customStyle="1" w:styleId="Bullet1">
    <w:name w:val="Bullet 1"/>
    <w:basedOn w:val="Normal"/>
    <w:qFormat/>
    <w:rsid w:val="00A378FE"/>
    <w:pPr>
      <w:numPr>
        <w:numId w:val="14"/>
      </w:numPr>
    </w:pPr>
  </w:style>
  <w:style w:type="paragraph" w:styleId="BalloonText">
    <w:name w:val="Balloon Text"/>
    <w:basedOn w:val="Normal"/>
    <w:link w:val="BalloonTextChar"/>
    <w:semiHidden/>
    <w:rsid w:val="00460C2E"/>
    <w:pPr>
      <w:spacing w:line="240" w:lineRule="auto"/>
    </w:pPr>
    <w:rPr>
      <w:rFonts w:ascii="Tahoma" w:hAnsi="Tahoma" w:cs="Tahoma"/>
      <w:sz w:val="16"/>
      <w:szCs w:val="16"/>
    </w:rPr>
  </w:style>
  <w:style w:type="paragraph" w:customStyle="1" w:styleId="Exhibit">
    <w:name w:val="Exhibit"/>
    <w:basedOn w:val="Normal"/>
    <w:next w:val="Normal"/>
    <w:rsid w:val="00460C2E"/>
    <w:pPr>
      <w:spacing w:after="240"/>
    </w:pPr>
    <w:rPr>
      <w:rFonts w:ascii="Verdana" w:hAnsi="Verdana"/>
      <w:b/>
    </w:rPr>
  </w:style>
  <w:style w:type="paragraph" w:styleId="TableofFigures">
    <w:name w:val="table of figures"/>
    <w:basedOn w:val="Normal"/>
    <w:next w:val="Normal"/>
    <w:uiPriority w:val="99"/>
    <w:rsid w:val="00460C2E"/>
    <w:pPr>
      <w:ind w:left="440" w:hanging="440"/>
    </w:pPr>
  </w:style>
  <w:style w:type="paragraph" w:styleId="TOC2">
    <w:name w:val="toc 2"/>
    <w:basedOn w:val="Normal"/>
    <w:next w:val="Normal"/>
    <w:autoRedefine/>
    <w:uiPriority w:val="39"/>
    <w:rsid w:val="00460C2E"/>
    <w:pPr>
      <w:tabs>
        <w:tab w:val="left" w:pos="1080"/>
        <w:tab w:val="right" w:leader="dot" w:pos="9360"/>
      </w:tabs>
      <w:ind w:left="1440" w:hanging="1008"/>
    </w:pPr>
    <w:rPr>
      <w:noProof/>
    </w:rPr>
  </w:style>
  <w:style w:type="paragraph" w:styleId="TOC3">
    <w:name w:val="toc 3"/>
    <w:basedOn w:val="Normal"/>
    <w:next w:val="Normal"/>
    <w:autoRedefine/>
    <w:uiPriority w:val="39"/>
    <w:rsid w:val="00460C2E"/>
    <w:pPr>
      <w:tabs>
        <w:tab w:val="left" w:pos="1512"/>
        <w:tab w:val="right" w:leader="dot" w:pos="9360"/>
      </w:tabs>
      <w:ind w:left="2376" w:hanging="1512"/>
    </w:pPr>
    <w:rPr>
      <w:noProof/>
    </w:rPr>
  </w:style>
  <w:style w:type="paragraph" w:styleId="TOC4">
    <w:name w:val="toc 4"/>
    <w:basedOn w:val="Normal"/>
    <w:next w:val="Normal"/>
    <w:autoRedefine/>
    <w:semiHidden/>
    <w:rsid w:val="00460C2E"/>
    <w:pPr>
      <w:tabs>
        <w:tab w:val="left" w:pos="2592"/>
        <w:tab w:val="right" w:leader="dot" w:pos="9360"/>
      </w:tabs>
      <w:ind w:left="-810" w:firstLine="2538"/>
    </w:pPr>
    <w:rPr>
      <w:noProof/>
    </w:rPr>
  </w:style>
  <w:style w:type="paragraph" w:styleId="TOC5">
    <w:name w:val="toc 5"/>
    <w:basedOn w:val="Normal"/>
    <w:next w:val="Normal"/>
    <w:autoRedefine/>
    <w:semiHidden/>
    <w:rsid w:val="00460C2E"/>
    <w:pPr>
      <w:tabs>
        <w:tab w:val="left" w:pos="2736"/>
        <w:tab w:val="left" w:pos="3672"/>
        <w:tab w:val="right" w:leader="dot" w:pos="9360"/>
      </w:tabs>
      <w:ind w:left="-1350" w:firstLine="3942"/>
    </w:pPr>
    <w:rPr>
      <w:noProof/>
    </w:rPr>
  </w:style>
  <w:style w:type="paragraph" w:styleId="TOC6">
    <w:name w:val="toc 6"/>
    <w:basedOn w:val="Normal"/>
    <w:next w:val="Normal"/>
    <w:autoRedefine/>
    <w:semiHidden/>
    <w:rsid w:val="00460C2E"/>
    <w:pPr>
      <w:tabs>
        <w:tab w:val="left" w:pos="5040"/>
        <w:tab w:val="right" w:leader="dot" w:pos="9350"/>
      </w:tabs>
      <w:ind w:left="3708"/>
    </w:pPr>
  </w:style>
  <w:style w:type="paragraph" w:styleId="TOC7">
    <w:name w:val="toc 7"/>
    <w:basedOn w:val="Normal"/>
    <w:next w:val="Normal"/>
    <w:autoRedefine/>
    <w:semiHidden/>
    <w:rsid w:val="00460C2E"/>
    <w:pPr>
      <w:tabs>
        <w:tab w:val="left" w:pos="432"/>
        <w:tab w:val="right" w:leader="dot" w:pos="9360"/>
      </w:tabs>
      <w:ind w:left="432" w:hanging="432"/>
    </w:pPr>
    <w:rPr>
      <w:noProof/>
    </w:rPr>
  </w:style>
  <w:style w:type="paragraph" w:styleId="TOC8">
    <w:name w:val="toc 8"/>
    <w:basedOn w:val="Normal"/>
    <w:next w:val="Normal"/>
    <w:autoRedefine/>
    <w:semiHidden/>
    <w:rsid w:val="00460C2E"/>
    <w:pPr>
      <w:ind w:left="1540"/>
    </w:pPr>
  </w:style>
  <w:style w:type="paragraph" w:styleId="Caption">
    <w:name w:val="caption"/>
    <w:aliases w:val="Table Caption Char,Table Caption"/>
    <w:basedOn w:val="Normal"/>
    <w:next w:val="Normal"/>
    <w:link w:val="CaptionChar"/>
    <w:qFormat/>
    <w:rsid w:val="00460C2E"/>
    <w:pPr>
      <w:spacing w:before="120" w:after="60"/>
      <w:jc w:val="center"/>
    </w:pPr>
    <w:rPr>
      <w:b/>
    </w:rPr>
  </w:style>
  <w:style w:type="character" w:styleId="Hyperlink">
    <w:name w:val="Hyperlink"/>
    <w:basedOn w:val="DefaultParagraphFont"/>
    <w:uiPriority w:val="99"/>
    <w:rsid w:val="00460C2E"/>
    <w:rPr>
      <w:color w:val="0000FF"/>
      <w:u w:val="single"/>
    </w:rPr>
  </w:style>
  <w:style w:type="paragraph" w:customStyle="1" w:styleId="Bullet2">
    <w:name w:val="Bullet 2"/>
    <w:basedOn w:val="Normal"/>
    <w:qFormat/>
    <w:rsid w:val="00A378FE"/>
    <w:pPr>
      <w:numPr>
        <w:numId w:val="15"/>
      </w:numPr>
    </w:pPr>
  </w:style>
  <w:style w:type="paragraph" w:customStyle="1" w:styleId="Bullet3">
    <w:name w:val="Bullet 3"/>
    <w:basedOn w:val="Normal"/>
    <w:rsid w:val="00A378FE"/>
    <w:pPr>
      <w:numPr>
        <w:numId w:val="16"/>
      </w:numPr>
    </w:pPr>
  </w:style>
  <w:style w:type="paragraph" w:customStyle="1" w:styleId="Headline">
    <w:name w:val="Headline"/>
    <w:basedOn w:val="Normal"/>
    <w:next w:val="SubHeadline"/>
    <w:rsid w:val="00A378FE"/>
    <w:rPr>
      <w:color w:val="3F9C35" w:themeColor="accent2"/>
      <w:sz w:val="56"/>
      <w:szCs w:val="44"/>
      <w:lang w:val="en-GB"/>
    </w:rPr>
  </w:style>
  <w:style w:type="paragraph" w:customStyle="1" w:styleId="SubHeadline">
    <w:name w:val="Sub Headline"/>
    <w:basedOn w:val="Headline"/>
    <w:next w:val="Normal"/>
    <w:rsid w:val="00460C2E"/>
    <w:rPr>
      <w:sz w:val="44"/>
      <w:szCs w:val="30"/>
    </w:rPr>
  </w:style>
  <w:style w:type="paragraph" w:customStyle="1" w:styleId="Bullet1-hardreturn">
    <w:name w:val="Bullet 1 - hard return"/>
    <w:basedOn w:val="Bullet1"/>
    <w:rsid w:val="00460C2E"/>
    <w:pPr>
      <w:numPr>
        <w:numId w:val="0"/>
      </w:numPr>
      <w:spacing w:after="240"/>
    </w:pPr>
  </w:style>
  <w:style w:type="paragraph" w:customStyle="1" w:styleId="Bullet2-hardreturn">
    <w:name w:val="Bullet 2 - hard return"/>
    <w:basedOn w:val="Bullet2"/>
    <w:rsid w:val="00460C2E"/>
    <w:pPr>
      <w:numPr>
        <w:numId w:val="0"/>
      </w:numPr>
      <w:spacing w:after="240"/>
    </w:pPr>
  </w:style>
  <w:style w:type="paragraph" w:customStyle="1" w:styleId="Bullet3-hardreturn">
    <w:name w:val="Bullet 3 - hard return"/>
    <w:basedOn w:val="Bullet3"/>
    <w:rsid w:val="00460C2E"/>
    <w:pPr>
      <w:numPr>
        <w:numId w:val="0"/>
      </w:numPr>
      <w:spacing w:after="240"/>
    </w:pPr>
  </w:style>
  <w:style w:type="paragraph" w:customStyle="1" w:styleId="Tabletext">
    <w:name w:val="Table text"/>
    <w:basedOn w:val="Normal"/>
    <w:qFormat/>
    <w:rsid w:val="00A378FE"/>
    <w:pPr>
      <w:spacing w:before="20" w:after="20"/>
    </w:pPr>
    <w:rPr>
      <w:sz w:val="20"/>
    </w:rPr>
  </w:style>
  <w:style w:type="paragraph" w:customStyle="1" w:styleId="Text">
    <w:name w:val="Text"/>
    <w:basedOn w:val="Normal"/>
    <w:rsid w:val="00460C2E"/>
    <w:rPr>
      <w:color w:val="003591" w:themeColor="text2"/>
      <w:sz w:val="26"/>
      <w:szCs w:val="26"/>
      <w:lang w:val="en-GB"/>
    </w:rPr>
  </w:style>
  <w:style w:type="table" w:styleId="TableGrid">
    <w:name w:val="Table Grid"/>
    <w:aliases w:val="normal"/>
    <w:basedOn w:val="TableNormal"/>
    <w:rsid w:val="00460C2E"/>
    <w:tblP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
    <w:tcPr>
      <w:vAlign w:val="center"/>
    </w:tcPr>
    <w:tblStylePr w:type="firstRow">
      <w:pPr>
        <w:keepNext/>
        <w:widowControl/>
        <w:wordWrap/>
        <w:spacing w:beforeLines="0" w:beforeAutospacing="0" w:afterLines="0" w:afterAutospacing="0" w:line="312" w:lineRule="auto"/>
        <w:jc w:val="center"/>
        <w:outlineLvl w:val="9"/>
      </w:pPr>
      <w:rPr>
        <w:rFonts w:ascii="Verdana" w:hAnsi="Verdana"/>
        <w:b/>
        <w:color w:val="FFFFFF" w:themeColor="background1"/>
        <w:sz w:val="20"/>
      </w:rPr>
      <w:tblPr/>
      <w:tcPr>
        <w:shd w:val="clear" w:color="auto" w:fill="003591"/>
      </w:tcPr>
    </w:tblStylePr>
  </w:style>
  <w:style w:type="paragraph" w:styleId="FootnoteText">
    <w:name w:val="footnote text"/>
    <w:aliases w:val="DFSListFootnote"/>
    <w:basedOn w:val="Normal"/>
    <w:link w:val="FootnoteTextChar"/>
    <w:uiPriority w:val="99"/>
    <w:rsid w:val="00460C2E"/>
    <w:pPr>
      <w:spacing w:after="60" w:line="240" w:lineRule="auto"/>
    </w:pPr>
    <w:rPr>
      <w:sz w:val="20"/>
      <w:szCs w:val="20"/>
    </w:rPr>
  </w:style>
  <w:style w:type="character" w:styleId="FootnoteReference">
    <w:name w:val="footnote reference"/>
    <w:basedOn w:val="DefaultParagraphFont"/>
    <w:uiPriority w:val="99"/>
    <w:rsid w:val="00460C2E"/>
    <w:rPr>
      <w:vertAlign w:val="superscript"/>
    </w:rPr>
  </w:style>
  <w:style w:type="character" w:customStyle="1" w:styleId="BalloonTextChar">
    <w:name w:val="Balloon Text Char"/>
    <w:basedOn w:val="DefaultParagraphFont"/>
    <w:link w:val="BalloonText"/>
    <w:semiHidden/>
    <w:rsid w:val="00460C2E"/>
    <w:rPr>
      <w:rFonts w:ascii="Tahoma" w:hAnsi="Tahoma" w:cs="Tahoma"/>
      <w:sz w:val="16"/>
      <w:szCs w:val="16"/>
    </w:rPr>
  </w:style>
  <w:style w:type="paragraph" w:styleId="List2">
    <w:name w:val="List 2"/>
    <w:basedOn w:val="Normal"/>
    <w:rsid w:val="00460C2E"/>
    <w:pPr>
      <w:numPr>
        <w:ilvl w:val="1"/>
        <w:numId w:val="13"/>
      </w:numPr>
      <w:tabs>
        <w:tab w:val="left" w:pos="360"/>
      </w:tabs>
      <w:contextualSpacing/>
      <w:outlineLvl w:val="1"/>
    </w:pPr>
  </w:style>
  <w:style w:type="paragraph" w:styleId="List3">
    <w:name w:val="List 3"/>
    <w:basedOn w:val="Normal"/>
    <w:rsid w:val="00460C2E"/>
    <w:pPr>
      <w:numPr>
        <w:ilvl w:val="2"/>
        <w:numId w:val="13"/>
      </w:numPr>
      <w:tabs>
        <w:tab w:val="left" w:pos="360"/>
      </w:tabs>
      <w:contextualSpacing/>
      <w:outlineLvl w:val="2"/>
    </w:pPr>
  </w:style>
  <w:style w:type="paragraph" w:customStyle="1" w:styleId="Tableleft-handcolumn">
    <w:name w:val="Table: left-hand column"/>
    <w:basedOn w:val="Tabletext"/>
    <w:next w:val="ParaText"/>
    <w:rsid w:val="00A378FE"/>
    <w:rPr>
      <w:b/>
    </w:rPr>
  </w:style>
  <w:style w:type="character" w:customStyle="1" w:styleId="ParaTextChar">
    <w:name w:val="ParaText Char"/>
    <w:basedOn w:val="DefaultParagraphFont"/>
    <w:link w:val="ParaText"/>
    <w:rsid w:val="00A378FE"/>
    <w:rPr>
      <w:rFonts w:ascii="Calibri" w:hAnsi="Calibri"/>
    </w:rPr>
  </w:style>
  <w:style w:type="table" w:styleId="LightList-Accent1">
    <w:name w:val="Light List Accent 1"/>
    <w:basedOn w:val="TableNormal"/>
    <w:uiPriority w:val="61"/>
    <w:rsid w:val="00460C2E"/>
    <w:pPr>
      <w:spacing w:line="240" w:lineRule="auto"/>
    </w:pPr>
    <w:tblPr>
      <w:tblStyleRowBandSize w:val="1"/>
      <w:tblStyleColBandSize w:val="1"/>
      <w:tblBorders>
        <w:top w:val="single" w:sz="8" w:space="0" w:color="003591" w:themeColor="accent1"/>
        <w:left w:val="single" w:sz="8" w:space="0" w:color="003591" w:themeColor="accent1"/>
        <w:bottom w:val="single" w:sz="8" w:space="0" w:color="003591" w:themeColor="accent1"/>
        <w:right w:val="single" w:sz="8" w:space="0" w:color="003591" w:themeColor="accent1"/>
      </w:tblBorders>
    </w:tblPr>
    <w:tblStylePr w:type="firstRow">
      <w:pPr>
        <w:spacing w:before="0" w:after="0" w:line="240" w:lineRule="auto"/>
      </w:pPr>
      <w:rPr>
        <w:b/>
        <w:bCs/>
        <w:color w:val="FFFFFF" w:themeColor="background1"/>
      </w:rPr>
      <w:tblPr/>
      <w:tcPr>
        <w:shd w:val="clear" w:color="auto" w:fill="003591" w:themeFill="accent1"/>
      </w:tcPr>
    </w:tblStylePr>
    <w:tblStylePr w:type="lastRow">
      <w:pPr>
        <w:spacing w:before="0" w:after="0" w:line="240" w:lineRule="auto"/>
      </w:pPr>
      <w:rPr>
        <w:b/>
        <w:bCs/>
      </w:rPr>
      <w:tblPr/>
      <w:tcPr>
        <w:tcBorders>
          <w:top w:val="double" w:sz="6" w:space="0" w:color="003591" w:themeColor="accent1"/>
          <w:left w:val="single" w:sz="8" w:space="0" w:color="003591" w:themeColor="accent1"/>
          <w:bottom w:val="single" w:sz="8" w:space="0" w:color="003591" w:themeColor="accent1"/>
          <w:right w:val="single" w:sz="8" w:space="0" w:color="003591" w:themeColor="accent1"/>
        </w:tcBorders>
      </w:tcPr>
    </w:tblStylePr>
    <w:tblStylePr w:type="firstCol">
      <w:rPr>
        <w:b/>
        <w:bCs/>
      </w:rPr>
    </w:tblStylePr>
    <w:tblStylePr w:type="lastCol">
      <w:rPr>
        <w:b/>
        <w:bCs/>
      </w:rPr>
    </w:tblStylePr>
    <w:tblStylePr w:type="band1Vert">
      <w:tblPr/>
      <w:tcPr>
        <w:tcBorders>
          <w:top w:val="single" w:sz="8" w:space="0" w:color="003591" w:themeColor="accent1"/>
          <w:left w:val="single" w:sz="8" w:space="0" w:color="003591" w:themeColor="accent1"/>
          <w:bottom w:val="single" w:sz="8" w:space="0" w:color="003591" w:themeColor="accent1"/>
          <w:right w:val="single" w:sz="8" w:space="0" w:color="003591" w:themeColor="accent1"/>
        </w:tcBorders>
      </w:tcPr>
    </w:tblStylePr>
    <w:tblStylePr w:type="band1Horz">
      <w:tblPr/>
      <w:tcPr>
        <w:tcBorders>
          <w:top w:val="single" w:sz="8" w:space="0" w:color="003591" w:themeColor="accent1"/>
          <w:left w:val="single" w:sz="8" w:space="0" w:color="003591" w:themeColor="accent1"/>
          <w:bottom w:val="single" w:sz="8" w:space="0" w:color="003591" w:themeColor="accent1"/>
          <w:right w:val="single" w:sz="8" w:space="0" w:color="003591" w:themeColor="accent1"/>
        </w:tcBorders>
      </w:tcPr>
    </w:tblStylePr>
  </w:style>
  <w:style w:type="table" w:styleId="Table3Deffects1">
    <w:name w:val="Table 3D effects 1"/>
    <w:basedOn w:val="TableNormal"/>
    <w:rsid w:val="00460C2E"/>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DNVGLNormal">
    <w:name w:val="DNV GL Normal"/>
    <w:aliases w:val="Alternating Rows"/>
    <w:basedOn w:val="TableNormal"/>
    <w:uiPriority w:val="99"/>
    <w:rsid w:val="00460C2E"/>
    <w:pPr>
      <w:spacing w:before="20" w:after="20"/>
    </w:pPr>
    <w:tblPr>
      <w:tblStyleRowBandSize w:val="1"/>
      <w:tblBorders>
        <w:top w:val="single" w:sz="4" w:space="0" w:color="A6BAED" w:themeColor="accent4" w:themeTint="40"/>
        <w:left w:val="single" w:sz="4" w:space="0" w:color="A6BAED" w:themeColor="accent4" w:themeTint="40"/>
        <w:bottom w:val="single" w:sz="4" w:space="0" w:color="A6BAED" w:themeColor="accent4" w:themeTint="40"/>
        <w:right w:val="single" w:sz="4" w:space="0" w:color="A6BAED" w:themeColor="accent4" w:themeTint="40"/>
        <w:insideH w:val="single" w:sz="4" w:space="0" w:color="A6BAED" w:themeColor="accent4" w:themeTint="40"/>
        <w:insideV w:val="single" w:sz="4" w:space="0" w:color="A6BAED" w:themeColor="accent4" w:themeTint="40"/>
      </w:tblBorders>
    </w:tblPr>
    <w:tblStylePr w:type="firstRow">
      <w:pPr>
        <w:wordWrap/>
        <w:jc w:val="center"/>
      </w:pPr>
      <w:rPr>
        <w:rFonts w:asciiTheme="majorHAnsi" w:hAnsiTheme="majorHAnsi"/>
        <w:b/>
        <w:color w:val="FFFFFF" w:themeColor="background2"/>
        <w:sz w:val="22"/>
      </w:rPr>
      <w:tblPr/>
      <w:tcPr>
        <w:shd w:val="clear" w:color="auto" w:fill="003591" w:themeFill="text2"/>
      </w:tcPr>
    </w:tblStylePr>
    <w:tblStylePr w:type="band1Horz">
      <w:tblPr/>
      <w:tcPr>
        <w:shd w:val="clear" w:color="auto" w:fill="E5F5FB" w:themeFill="accent6"/>
      </w:tcPr>
    </w:tblStylePr>
  </w:style>
  <w:style w:type="table" w:customStyle="1" w:styleId="DNVGLTable">
    <w:name w:val="DNV GL Table"/>
    <w:aliases w:val="variation"/>
    <w:basedOn w:val="TableNormal"/>
    <w:uiPriority w:val="99"/>
    <w:rsid w:val="00460C2E"/>
    <w:pPr>
      <w:spacing w:before="20" w:after="20"/>
    </w:pPr>
    <w:rPr>
      <w:rFonts w:asciiTheme="minorHAnsi" w:hAnsiTheme="minorHAnsi"/>
    </w:rPr>
    <w:tblPr>
      <w:tblBorders>
        <w:top w:val="single" w:sz="8" w:space="0" w:color="FFFFFF" w:themeColor="background1"/>
        <w:bottom w:val="single" w:sz="8" w:space="0" w:color="FFFFFF" w:themeColor="background1"/>
        <w:insideH w:val="single" w:sz="8" w:space="0" w:color="FFFFFF" w:themeColor="background1"/>
      </w:tblBorders>
    </w:tblPr>
    <w:tcPr>
      <w:shd w:val="clear" w:color="auto" w:fill="F2F2F2" w:themeFill="background1" w:themeFillShade="F2"/>
    </w:tcPr>
    <w:tblStylePr w:type="firstRow">
      <w:rPr>
        <w:rFonts w:asciiTheme="majorHAnsi" w:hAnsiTheme="majorHAnsi"/>
        <w:b/>
        <w:color w:val="FFFFFF" w:themeColor="background1"/>
        <w:sz w:val="20"/>
      </w:rPr>
      <w:tblPr/>
      <w:tcPr>
        <w:shd w:val="clear" w:color="auto" w:fill="009FDA" w:themeFill="accent5"/>
      </w:tcPr>
    </w:tblStylePr>
    <w:tblStylePr w:type="lastRow">
      <w:rPr>
        <w:rFonts w:asciiTheme="majorHAnsi" w:hAnsiTheme="majorHAnsi"/>
        <w:b w:val="0"/>
        <w:color w:val="FFFFFF" w:themeColor="background1"/>
        <w:sz w:val="20"/>
      </w:rPr>
      <w:tblPr/>
      <w:tcPr>
        <w:shd w:val="clear" w:color="auto" w:fill="009FDA" w:themeFill="accent5"/>
      </w:tcPr>
    </w:tblStylePr>
  </w:style>
  <w:style w:type="paragraph" w:customStyle="1" w:styleId="CoverText">
    <w:name w:val="Cover Text"/>
    <w:basedOn w:val="Normal"/>
    <w:next w:val="Normal"/>
    <w:rsid w:val="00460C2E"/>
    <w:rPr>
      <w:sz w:val="28"/>
      <w:szCs w:val="28"/>
    </w:rPr>
  </w:style>
  <w:style w:type="paragraph" w:customStyle="1" w:styleId="TableColumnHead">
    <w:name w:val="Table Column Head"/>
    <w:basedOn w:val="Tabletext"/>
    <w:next w:val="Normal"/>
    <w:rsid w:val="00460C2E"/>
    <w:pPr>
      <w:keepNext/>
      <w:jc w:val="center"/>
    </w:pPr>
    <w:rPr>
      <w:rFonts w:ascii="Verdana" w:hAnsi="Verdana"/>
      <w:b/>
      <w:color w:val="FFFFFF" w:themeColor="background1"/>
    </w:rPr>
  </w:style>
  <w:style w:type="paragraph" w:styleId="ListParagraph">
    <w:name w:val="List Paragraph"/>
    <w:basedOn w:val="Normal"/>
    <w:uiPriority w:val="34"/>
    <w:qFormat/>
    <w:rsid w:val="00460C2E"/>
    <w:pPr>
      <w:ind w:left="720"/>
      <w:contextualSpacing/>
    </w:pPr>
  </w:style>
  <w:style w:type="paragraph" w:customStyle="1" w:styleId="RFPText">
    <w:name w:val="RFP Text"/>
    <w:basedOn w:val="Normal"/>
    <w:rsid w:val="00460C2E"/>
    <w:pPr>
      <w:spacing w:before="120" w:after="120"/>
    </w:pPr>
    <w:rPr>
      <w:i/>
      <w:color w:val="0434B1"/>
    </w:rPr>
  </w:style>
  <w:style w:type="paragraph" w:customStyle="1" w:styleId="Question">
    <w:name w:val="Question"/>
    <w:basedOn w:val="Normal"/>
    <w:next w:val="ParaText"/>
    <w:rsid w:val="00460C2E"/>
    <w:pPr>
      <w:spacing w:before="180" w:line="264" w:lineRule="auto"/>
      <w:ind w:left="720" w:hanging="720"/>
    </w:pPr>
    <w:rPr>
      <w:b/>
    </w:rPr>
  </w:style>
  <w:style w:type="paragraph" w:styleId="BodyText">
    <w:name w:val="Body Text"/>
    <w:basedOn w:val="Normal"/>
    <w:link w:val="BodyTextChar"/>
    <w:uiPriority w:val="1"/>
    <w:qFormat/>
    <w:rsid w:val="00460C2E"/>
    <w:pPr>
      <w:spacing w:line="312" w:lineRule="auto"/>
    </w:pPr>
    <w:rPr>
      <w:szCs w:val="24"/>
    </w:rPr>
  </w:style>
  <w:style w:type="character" w:customStyle="1" w:styleId="BodyTextChar">
    <w:name w:val="Body Text Char"/>
    <w:basedOn w:val="DefaultParagraphFont"/>
    <w:link w:val="BodyText"/>
    <w:uiPriority w:val="1"/>
    <w:rsid w:val="00460C2E"/>
    <w:rPr>
      <w:szCs w:val="24"/>
    </w:rPr>
  </w:style>
  <w:style w:type="paragraph" w:customStyle="1" w:styleId="Valediction">
    <w:name w:val="Valediction"/>
    <w:basedOn w:val="BodyText"/>
    <w:semiHidden/>
    <w:rsid w:val="00460C2E"/>
    <w:pPr>
      <w:keepNext/>
    </w:pPr>
  </w:style>
  <w:style w:type="paragraph" w:customStyle="1" w:styleId="ccenc">
    <w:name w:val="cc/enc"/>
    <w:basedOn w:val="BodyText"/>
    <w:semiHidden/>
    <w:rsid w:val="00460C2E"/>
    <w:pPr>
      <w:tabs>
        <w:tab w:val="left" w:pos="1418"/>
      </w:tabs>
      <w:spacing w:before="240"/>
      <w:ind w:left="1418" w:hanging="1418"/>
    </w:pPr>
  </w:style>
  <w:style w:type="paragraph" w:customStyle="1" w:styleId="LegalFooter">
    <w:name w:val="LegalFooter"/>
    <w:basedOn w:val="Footer"/>
    <w:semiHidden/>
    <w:rsid w:val="00460C2E"/>
    <w:pPr>
      <w:pBdr>
        <w:top w:val="none" w:sz="0" w:space="0" w:color="auto"/>
      </w:pBdr>
      <w:tabs>
        <w:tab w:val="clear" w:pos="9360"/>
      </w:tabs>
      <w:spacing w:line="264" w:lineRule="auto"/>
    </w:pPr>
    <w:rPr>
      <w:rFonts w:ascii="Verdana" w:hAnsi="Verdana"/>
      <w:noProof/>
      <w:color w:val="auto"/>
      <w:sz w:val="17"/>
      <w:szCs w:val="24"/>
    </w:rPr>
  </w:style>
  <w:style w:type="paragraph" w:customStyle="1" w:styleId="FooterDate">
    <w:name w:val="Footer Date"/>
    <w:basedOn w:val="Normal"/>
    <w:semiHidden/>
    <w:unhideWhenUsed/>
    <w:rsid w:val="00460C2E"/>
    <w:pPr>
      <w:keepNext/>
      <w:snapToGrid w:val="0"/>
      <w:jc w:val="right"/>
    </w:pPr>
    <w:rPr>
      <w:rFonts w:cstheme="minorHAnsi"/>
      <w:color w:val="666666"/>
      <w:sz w:val="18"/>
      <w:szCs w:val="18"/>
    </w:rPr>
  </w:style>
  <w:style w:type="paragraph" w:customStyle="1" w:styleId="FooterCompanyName">
    <w:name w:val="Footer Company Name"/>
    <w:basedOn w:val="FootnoteText"/>
    <w:unhideWhenUsed/>
    <w:rsid w:val="00460C2E"/>
    <w:pPr>
      <w:keepNext/>
    </w:pPr>
    <w:rPr>
      <w:rFonts w:ascii="Verdana" w:hAnsi="Verdana"/>
      <w:color w:val="666666"/>
    </w:rPr>
  </w:style>
  <w:style w:type="character" w:customStyle="1" w:styleId="FooterChar">
    <w:name w:val="Footer Char"/>
    <w:basedOn w:val="DefaultParagraphFont"/>
    <w:link w:val="Footer"/>
    <w:uiPriority w:val="99"/>
    <w:rsid w:val="000B1D76"/>
    <w:rPr>
      <w:rFonts w:ascii="Calibri" w:hAnsi="Calibri"/>
      <w:color w:val="3F9C35" w:themeColor="accent2"/>
      <w:sz w:val="18"/>
      <w:szCs w:val="18"/>
    </w:rPr>
  </w:style>
  <w:style w:type="character" w:customStyle="1" w:styleId="HeaderChar">
    <w:name w:val="Header Char"/>
    <w:basedOn w:val="DefaultParagraphFont"/>
    <w:link w:val="Header"/>
    <w:uiPriority w:val="99"/>
    <w:rsid w:val="00460C2E"/>
    <w:rPr>
      <w:b/>
      <w:sz w:val="34"/>
    </w:rPr>
  </w:style>
  <w:style w:type="paragraph" w:customStyle="1" w:styleId="BackCover">
    <w:name w:val="Back Cover"/>
    <w:basedOn w:val="BodyText"/>
    <w:next w:val="Normal"/>
    <w:rsid w:val="00460C2E"/>
    <w:pPr>
      <w:spacing w:line="264" w:lineRule="auto"/>
      <w:ind w:right="1440"/>
    </w:pPr>
    <w:rPr>
      <w:rFonts w:ascii="Verdana" w:hAnsi="Verdana" w:cs="Arial"/>
      <w:color w:val="666666"/>
      <w:sz w:val="20"/>
      <w:szCs w:val="20"/>
    </w:rPr>
  </w:style>
  <w:style w:type="table" w:styleId="LightList-Accent5">
    <w:name w:val="Light List Accent 5"/>
    <w:basedOn w:val="TableNormal"/>
    <w:uiPriority w:val="61"/>
    <w:rsid w:val="00460C2E"/>
    <w:pPr>
      <w:spacing w:line="240" w:lineRule="auto"/>
    </w:pPr>
    <w:tblPr>
      <w:tblStyleRowBandSize w:val="1"/>
      <w:tblStyleColBandSize w:val="1"/>
      <w:tblBorders>
        <w:top w:val="single" w:sz="8" w:space="0" w:color="009FDA" w:themeColor="accent5"/>
        <w:left w:val="single" w:sz="8" w:space="0" w:color="009FDA" w:themeColor="accent5"/>
        <w:bottom w:val="single" w:sz="8" w:space="0" w:color="009FDA" w:themeColor="accent5"/>
        <w:right w:val="single" w:sz="8" w:space="0" w:color="009FDA" w:themeColor="accent5"/>
      </w:tblBorders>
    </w:tblPr>
    <w:tblStylePr w:type="firstRow">
      <w:pPr>
        <w:spacing w:before="0" w:after="0" w:line="240" w:lineRule="auto"/>
      </w:pPr>
      <w:rPr>
        <w:b/>
        <w:bCs/>
        <w:color w:val="FFFFFF" w:themeColor="background1"/>
      </w:rPr>
      <w:tblPr/>
      <w:tcPr>
        <w:shd w:val="clear" w:color="auto" w:fill="009FDA" w:themeFill="accent5"/>
      </w:tcPr>
    </w:tblStylePr>
    <w:tblStylePr w:type="lastRow">
      <w:pPr>
        <w:spacing w:before="0" w:after="0" w:line="240" w:lineRule="auto"/>
      </w:pPr>
      <w:rPr>
        <w:b/>
        <w:bCs/>
      </w:rPr>
      <w:tblPr/>
      <w:tcPr>
        <w:tcBorders>
          <w:top w:val="double" w:sz="6" w:space="0" w:color="009FDA" w:themeColor="accent5"/>
          <w:left w:val="single" w:sz="8" w:space="0" w:color="009FDA" w:themeColor="accent5"/>
          <w:bottom w:val="single" w:sz="8" w:space="0" w:color="009FDA" w:themeColor="accent5"/>
          <w:right w:val="single" w:sz="8" w:space="0" w:color="009FDA" w:themeColor="accent5"/>
        </w:tcBorders>
      </w:tcPr>
    </w:tblStylePr>
    <w:tblStylePr w:type="firstCol">
      <w:rPr>
        <w:b/>
        <w:bCs/>
      </w:rPr>
    </w:tblStylePr>
    <w:tblStylePr w:type="lastCol">
      <w:rPr>
        <w:b/>
        <w:bCs/>
      </w:rPr>
    </w:tblStylePr>
    <w:tblStylePr w:type="band1Vert">
      <w:tblPr/>
      <w:tcPr>
        <w:tcBorders>
          <w:top w:val="single" w:sz="8" w:space="0" w:color="009FDA" w:themeColor="accent5"/>
          <w:left w:val="single" w:sz="8" w:space="0" w:color="009FDA" w:themeColor="accent5"/>
          <w:bottom w:val="single" w:sz="8" w:space="0" w:color="009FDA" w:themeColor="accent5"/>
          <w:right w:val="single" w:sz="8" w:space="0" w:color="009FDA" w:themeColor="accent5"/>
        </w:tcBorders>
      </w:tcPr>
    </w:tblStylePr>
    <w:tblStylePr w:type="band1Horz">
      <w:tblPr/>
      <w:tcPr>
        <w:tcBorders>
          <w:top w:val="single" w:sz="8" w:space="0" w:color="009FDA" w:themeColor="accent5"/>
          <w:left w:val="single" w:sz="8" w:space="0" w:color="009FDA" w:themeColor="accent5"/>
          <w:bottom w:val="single" w:sz="8" w:space="0" w:color="009FDA" w:themeColor="accent5"/>
          <w:right w:val="single" w:sz="8" w:space="0" w:color="009FDA" w:themeColor="accent5"/>
        </w:tcBorders>
      </w:tcPr>
    </w:tblStylePr>
  </w:style>
  <w:style w:type="paragraph" w:styleId="BodyText3">
    <w:name w:val="Body Text 3"/>
    <w:basedOn w:val="Normal"/>
    <w:link w:val="BodyText3Char"/>
    <w:semiHidden/>
    <w:rsid w:val="00460C2E"/>
    <w:pPr>
      <w:spacing w:after="120"/>
    </w:pPr>
    <w:rPr>
      <w:sz w:val="16"/>
      <w:szCs w:val="16"/>
    </w:rPr>
  </w:style>
  <w:style w:type="character" w:customStyle="1" w:styleId="BodyText3Char">
    <w:name w:val="Body Text 3 Char"/>
    <w:basedOn w:val="DefaultParagraphFont"/>
    <w:link w:val="BodyText3"/>
    <w:semiHidden/>
    <w:rsid w:val="00460C2E"/>
    <w:rPr>
      <w:sz w:val="16"/>
      <w:szCs w:val="16"/>
    </w:rPr>
  </w:style>
  <w:style w:type="paragraph" w:styleId="BodyTextIndent">
    <w:name w:val="Body Text Indent"/>
    <w:basedOn w:val="Normal"/>
    <w:link w:val="BodyTextIndentChar"/>
    <w:semiHidden/>
    <w:rsid w:val="00460C2E"/>
    <w:pPr>
      <w:spacing w:after="120"/>
      <w:ind w:left="360"/>
    </w:pPr>
  </w:style>
  <w:style w:type="character" w:customStyle="1" w:styleId="BodyTextIndentChar">
    <w:name w:val="Body Text Indent Char"/>
    <w:basedOn w:val="DefaultParagraphFont"/>
    <w:link w:val="BodyTextIndent"/>
    <w:semiHidden/>
    <w:rsid w:val="00460C2E"/>
  </w:style>
  <w:style w:type="paragraph" w:styleId="BodyTextIndent2">
    <w:name w:val="Body Text Indent 2"/>
    <w:basedOn w:val="Normal"/>
    <w:link w:val="BodyTextIndent2Char"/>
    <w:semiHidden/>
    <w:rsid w:val="00460C2E"/>
    <w:pPr>
      <w:spacing w:after="120" w:line="480" w:lineRule="auto"/>
      <w:ind w:left="360"/>
    </w:pPr>
  </w:style>
  <w:style w:type="character" w:customStyle="1" w:styleId="BodyTextIndent2Char">
    <w:name w:val="Body Text Indent 2 Char"/>
    <w:basedOn w:val="DefaultParagraphFont"/>
    <w:link w:val="BodyTextIndent2"/>
    <w:semiHidden/>
    <w:rsid w:val="00460C2E"/>
  </w:style>
  <w:style w:type="paragraph" w:styleId="BodyTextIndent3">
    <w:name w:val="Body Text Indent 3"/>
    <w:basedOn w:val="Normal"/>
    <w:link w:val="BodyTextIndent3Char"/>
    <w:semiHidden/>
    <w:rsid w:val="00460C2E"/>
    <w:pPr>
      <w:spacing w:after="120"/>
      <w:ind w:left="360"/>
    </w:pPr>
    <w:rPr>
      <w:sz w:val="16"/>
      <w:szCs w:val="16"/>
    </w:rPr>
  </w:style>
  <w:style w:type="character" w:customStyle="1" w:styleId="BodyTextIndent3Char">
    <w:name w:val="Body Text Indent 3 Char"/>
    <w:basedOn w:val="DefaultParagraphFont"/>
    <w:link w:val="BodyTextIndent3"/>
    <w:semiHidden/>
    <w:rsid w:val="00460C2E"/>
    <w:rPr>
      <w:sz w:val="16"/>
      <w:szCs w:val="16"/>
    </w:rPr>
  </w:style>
  <w:style w:type="paragraph" w:styleId="CommentText">
    <w:name w:val="annotation text"/>
    <w:basedOn w:val="Normal"/>
    <w:link w:val="CommentTextChar"/>
    <w:semiHidden/>
    <w:rsid w:val="00460C2E"/>
    <w:pPr>
      <w:spacing w:line="240" w:lineRule="auto"/>
    </w:pPr>
    <w:rPr>
      <w:sz w:val="20"/>
      <w:szCs w:val="20"/>
    </w:rPr>
  </w:style>
  <w:style w:type="character" w:customStyle="1" w:styleId="CommentTextChar">
    <w:name w:val="Comment Text Char"/>
    <w:basedOn w:val="DefaultParagraphFont"/>
    <w:link w:val="CommentText"/>
    <w:semiHidden/>
    <w:rsid w:val="00460C2E"/>
    <w:rPr>
      <w:sz w:val="20"/>
      <w:szCs w:val="20"/>
    </w:rPr>
  </w:style>
  <w:style w:type="paragraph" w:styleId="CommentSubject">
    <w:name w:val="annotation subject"/>
    <w:basedOn w:val="CommentText"/>
    <w:next w:val="CommentText"/>
    <w:link w:val="CommentSubjectChar"/>
    <w:semiHidden/>
    <w:rsid w:val="00460C2E"/>
    <w:rPr>
      <w:b/>
      <w:bCs/>
    </w:rPr>
  </w:style>
  <w:style w:type="character" w:customStyle="1" w:styleId="CommentSubjectChar">
    <w:name w:val="Comment Subject Char"/>
    <w:basedOn w:val="CommentTextChar"/>
    <w:link w:val="CommentSubject"/>
    <w:semiHidden/>
    <w:rsid w:val="00460C2E"/>
    <w:rPr>
      <w:b/>
      <w:bCs/>
      <w:sz w:val="20"/>
      <w:szCs w:val="20"/>
    </w:rPr>
  </w:style>
  <w:style w:type="paragraph" w:styleId="Date">
    <w:name w:val="Date"/>
    <w:basedOn w:val="Normal"/>
    <w:next w:val="Normal"/>
    <w:link w:val="DateChar"/>
    <w:rsid w:val="00460C2E"/>
  </w:style>
  <w:style w:type="character" w:customStyle="1" w:styleId="DateChar">
    <w:name w:val="Date Char"/>
    <w:basedOn w:val="DefaultParagraphFont"/>
    <w:link w:val="Date"/>
    <w:rsid w:val="00460C2E"/>
  </w:style>
  <w:style w:type="paragraph" w:styleId="DocumentMap">
    <w:name w:val="Document Map"/>
    <w:basedOn w:val="Normal"/>
    <w:link w:val="DocumentMapChar"/>
    <w:rsid w:val="00460C2E"/>
    <w:pPr>
      <w:spacing w:line="240" w:lineRule="auto"/>
    </w:pPr>
    <w:rPr>
      <w:rFonts w:ascii="Tahoma" w:hAnsi="Tahoma" w:cs="Tahoma"/>
      <w:sz w:val="16"/>
      <w:szCs w:val="16"/>
    </w:rPr>
  </w:style>
  <w:style w:type="character" w:customStyle="1" w:styleId="DocumentMapChar">
    <w:name w:val="Document Map Char"/>
    <w:basedOn w:val="DefaultParagraphFont"/>
    <w:link w:val="DocumentMap"/>
    <w:rsid w:val="00460C2E"/>
    <w:rPr>
      <w:rFonts w:ascii="Tahoma" w:hAnsi="Tahoma" w:cs="Tahoma"/>
      <w:sz w:val="16"/>
      <w:szCs w:val="16"/>
    </w:rPr>
  </w:style>
  <w:style w:type="paragraph" w:styleId="E-mailSignature">
    <w:name w:val="E-mail Signature"/>
    <w:basedOn w:val="Normal"/>
    <w:link w:val="E-mailSignatureChar"/>
    <w:rsid w:val="00460C2E"/>
    <w:pPr>
      <w:spacing w:line="240" w:lineRule="auto"/>
    </w:pPr>
  </w:style>
  <w:style w:type="character" w:customStyle="1" w:styleId="E-mailSignatureChar">
    <w:name w:val="E-mail Signature Char"/>
    <w:basedOn w:val="DefaultParagraphFont"/>
    <w:link w:val="E-mailSignature"/>
    <w:rsid w:val="00460C2E"/>
  </w:style>
  <w:style w:type="character" w:styleId="EndnoteReference">
    <w:name w:val="endnote reference"/>
    <w:basedOn w:val="DefaultParagraphFont"/>
    <w:rsid w:val="00460C2E"/>
    <w:rPr>
      <w:vertAlign w:val="superscript"/>
    </w:rPr>
  </w:style>
  <w:style w:type="paragraph" w:styleId="EndnoteText">
    <w:name w:val="endnote text"/>
    <w:basedOn w:val="Normal"/>
    <w:link w:val="EndnoteTextChar"/>
    <w:rsid w:val="00460C2E"/>
    <w:pPr>
      <w:spacing w:line="240" w:lineRule="auto"/>
    </w:pPr>
    <w:rPr>
      <w:sz w:val="20"/>
      <w:szCs w:val="20"/>
    </w:rPr>
  </w:style>
  <w:style w:type="character" w:customStyle="1" w:styleId="EndnoteTextChar">
    <w:name w:val="Endnote Text Char"/>
    <w:basedOn w:val="DefaultParagraphFont"/>
    <w:link w:val="EndnoteText"/>
    <w:rsid w:val="00460C2E"/>
    <w:rPr>
      <w:sz w:val="20"/>
      <w:szCs w:val="20"/>
    </w:rPr>
  </w:style>
  <w:style w:type="paragraph" w:styleId="EnvelopeAddress">
    <w:name w:val="envelope address"/>
    <w:basedOn w:val="Normal"/>
    <w:semiHidden/>
    <w:rsid w:val="00460C2E"/>
    <w:pPr>
      <w:framePr w:w="7920" w:h="1980" w:hRule="exact" w:hSpace="180" w:wrap="auto" w:hAnchor="page" w:xAlign="center" w:yAlign="bottom"/>
      <w:spacing w:line="240" w:lineRule="auto"/>
      <w:ind w:left="2880"/>
    </w:pPr>
    <w:rPr>
      <w:rFonts w:eastAsiaTheme="majorEastAsia" w:cstheme="majorBidi"/>
      <w:sz w:val="24"/>
      <w:szCs w:val="24"/>
    </w:rPr>
  </w:style>
  <w:style w:type="paragraph" w:styleId="EnvelopeReturn">
    <w:name w:val="envelope return"/>
    <w:basedOn w:val="Normal"/>
    <w:semiHidden/>
    <w:rsid w:val="00460C2E"/>
    <w:pPr>
      <w:spacing w:line="240" w:lineRule="auto"/>
    </w:pPr>
    <w:rPr>
      <w:rFonts w:eastAsiaTheme="majorEastAsia" w:cstheme="majorBidi"/>
      <w:sz w:val="20"/>
      <w:szCs w:val="20"/>
    </w:rPr>
  </w:style>
  <w:style w:type="character" w:styleId="FollowedHyperlink">
    <w:name w:val="FollowedHyperlink"/>
    <w:basedOn w:val="DefaultParagraphFont"/>
    <w:rsid w:val="00460C2E"/>
    <w:rPr>
      <w:color w:val="3F9C35"/>
      <w:u w:val="single"/>
    </w:rPr>
  </w:style>
  <w:style w:type="paragraph" w:styleId="HTMLAddress">
    <w:name w:val="HTML Address"/>
    <w:basedOn w:val="Normal"/>
    <w:link w:val="HTMLAddressChar"/>
    <w:unhideWhenUsed/>
    <w:rsid w:val="00460C2E"/>
    <w:pPr>
      <w:spacing w:line="240" w:lineRule="auto"/>
    </w:pPr>
    <w:rPr>
      <w:i/>
      <w:iCs/>
    </w:rPr>
  </w:style>
  <w:style w:type="character" w:customStyle="1" w:styleId="HTMLAddressChar">
    <w:name w:val="HTML Address Char"/>
    <w:basedOn w:val="DefaultParagraphFont"/>
    <w:link w:val="HTMLAddress"/>
    <w:rsid w:val="00460C2E"/>
    <w:rPr>
      <w:i/>
      <w:iCs/>
    </w:rPr>
  </w:style>
  <w:style w:type="character" w:styleId="HTMLCite">
    <w:name w:val="HTML Cite"/>
    <w:basedOn w:val="DefaultParagraphFont"/>
    <w:unhideWhenUsed/>
    <w:rsid w:val="00460C2E"/>
    <w:rPr>
      <w:i/>
      <w:iCs/>
    </w:rPr>
  </w:style>
  <w:style w:type="paragraph" w:styleId="Index1">
    <w:name w:val="index 1"/>
    <w:basedOn w:val="Normal"/>
    <w:next w:val="Normal"/>
    <w:autoRedefine/>
    <w:rsid w:val="00460C2E"/>
    <w:pPr>
      <w:spacing w:line="240" w:lineRule="auto"/>
      <w:ind w:left="220" w:hanging="220"/>
    </w:pPr>
  </w:style>
  <w:style w:type="paragraph" w:styleId="Index2">
    <w:name w:val="index 2"/>
    <w:basedOn w:val="Normal"/>
    <w:next w:val="Normal"/>
    <w:autoRedefine/>
    <w:rsid w:val="00460C2E"/>
    <w:pPr>
      <w:spacing w:line="240" w:lineRule="auto"/>
      <w:ind w:left="440" w:hanging="220"/>
    </w:pPr>
  </w:style>
  <w:style w:type="paragraph" w:styleId="Index3">
    <w:name w:val="index 3"/>
    <w:basedOn w:val="Normal"/>
    <w:next w:val="Normal"/>
    <w:autoRedefine/>
    <w:rsid w:val="00460C2E"/>
    <w:pPr>
      <w:spacing w:line="240" w:lineRule="auto"/>
      <w:ind w:left="660" w:hanging="220"/>
    </w:pPr>
  </w:style>
  <w:style w:type="paragraph" w:styleId="Index4">
    <w:name w:val="index 4"/>
    <w:basedOn w:val="Normal"/>
    <w:next w:val="Normal"/>
    <w:autoRedefine/>
    <w:rsid w:val="00460C2E"/>
    <w:pPr>
      <w:spacing w:line="240" w:lineRule="auto"/>
      <w:ind w:left="880" w:hanging="220"/>
    </w:pPr>
  </w:style>
  <w:style w:type="paragraph" w:styleId="Index5">
    <w:name w:val="index 5"/>
    <w:basedOn w:val="Normal"/>
    <w:next w:val="Normal"/>
    <w:autoRedefine/>
    <w:rsid w:val="00460C2E"/>
    <w:pPr>
      <w:spacing w:line="240" w:lineRule="auto"/>
      <w:ind w:left="1100" w:hanging="220"/>
    </w:pPr>
  </w:style>
  <w:style w:type="paragraph" w:styleId="Index6">
    <w:name w:val="index 6"/>
    <w:basedOn w:val="Normal"/>
    <w:next w:val="Normal"/>
    <w:autoRedefine/>
    <w:rsid w:val="00460C2E"/>
    <w:pPr>
      <w:spacing w:line="240" w:lineRule="auto"/>
      <w:ind w:left="1320" w:hanging="220"/>
    </w:pPr>
  </w:style>
  <w:style w:type="paragraph" w:styleId="Index7">
    <w:name w:val="index 7"/>
    <w:basedOn w:val="Normal"/>
    <w:next w:val="Normal"/>
    <w:autoRedefine/>
    <w:rsid w:val="00460C2E"/>
    <w:pPr>
      <w:spacing w:line="240" w:lineRule="auto"/>
      <w:ind w:left="1540" w:hanging="220"/>
    </w:pPr>
  </w:style>
  <w:style w:type="paragraph" w:styleId="Index8">
    <w:name w:val="index 8"/>
    <w:basedOn w:val="Normal"/>
    <w:next w:val="Normal"/>
    <w:autoRedefine/>
    <w:rsid w:val="00460C2E"/>
    <w:pPr>
      <w:spacing w:line="240" w:lineRule="auto"/>
      <w:ind w:left="1760" w:hanging="220"/>
    </w:pPr>
  </w:style>
  <w:style w:type="paragraph" w:styleId="Index9">
    <w:name w:val="index 9"/>
    <w:basedOn w:val="Normal"/>
    <w:next w:val="Normal"/>
    <w:autoRedefine/>
    <w:rsid w:val="00460C2E"/>
    <w:pPr>
      <w:spacing w:line="240" w:lineRule="auto"/>
      <w:ind w:left="1980" w:hanging="220"/>
    </w:pPr>
  </w:style>
  <w:style w:type="paragraph" w:styleId="IndexHeading">
    <w:name w:val="index heading"/>
    <w:basedOn w:val="Normal"/>
    <w:next w:val="Index1"/>
    <w:rsid w:val="00460C2E"/>
    <w:rPr>
      <w:rFonts w:eastAsiaTheme="majorEastAsia" w:cstheme="majorBidi"/>
      <w:b/>
      <w:bCs/>
    </w:rPr>
  </w:style>
  <w:style w:type="paragraph" w:styleId="List">
    <w:name w:val="List"/>
    <w:basedOn w:val="Normal"/>
    <w:unhideWhenUsed/>
    <w:rsid w:val="00460C2E"/>
    <w:pPr>
      <w:ind w:left="360" w:hanging="360"/>
      <w:contextualSpacing/>
    </w:pPr>
  </w:style>
  <w:style w:type="paragraph" w:styleId="List4">
    <w:name w:val="List 4"/>
    <w:basedOn w:val="Normal"/>
    <w:rsid w:val="00460C2E"/>
    <w:pPr>
      <w:ind w:left="1440" w:hanging="360"/>
      <w:contextualSpacing/>
    </w:pPr>
  </w:style>
  <w:style w:type="paragraph" w:styleId="List5">
    <w:name w:val="List 5"/>
    <w:basedOn w:val="Normal"/>
    <w:rsid w:val="00460C2E"/>
    <w:pPr>
      <w:ind w:left="1800" w:hanging="360"/>
      <w:contextualSpacing/>
    </w:pPr>
  </w:style>
  <w:style w:type="paragraph" w:styleId="ListBullet">
    <w:name w:val="List Bullet"/>
    <w:basedOn w:val="Normal"/>
    <w:rsid w:val="00460C2E"/>
    <w:pPr>
      <w:numPr>
        <w:numId w:val="3"/>
      </w:numPr>
      <w:contextualSpacing/>
    </w:pPr>
  </w:style>
  <w:style w:type="paragraph" w:styleId="ListBullet2">
    <w:name w:val="List Bullet 2"/>
    <w:basedOn w:val="Normal"/>
    <w:rsid w:val="00460C2E"/>
    <w:pPr>
      <w:numPr>
        <w:numId w:val="5"/>
      </w:numPr>
      <w:contextualSpacing/>
    </w:pPr>
  </w:style>
  <w:style w:type="paragraph" w:styleId="ListBullet3">
    <w:name w:val="List Bullet 3"/>
    <w:basedOn w:val="Normal"/>
    <w:rsid w:val="00460C2E"/>
    <w:pPr>
      <w:numPr>
        <w:numId w:val="6"/>
      </w:numPr>
      <w:contextualSpacing/>
    </w:pPr>
  </w:style>
  <w:style w:type="paragraph" w:styleId="ListBullet4">
    <w:name w:val="List Bullet 4"/>
    <w:basedOn w:val="Normal"/>
    <w:rsid w:val="00460C2E"/>
    <w:pPr>
      <w:numPr>
        <w:numId w:val="7"/>
      </w:numPr>
      <w:contextualSpacing/>
    </w:pPr>
  </w:style>
  <w:style w:type="paragraph" w:styleId="ListBullet5">
    <w:name w:val="List Bullet 5"/>
    <w:basedOn w:val="Normal"/>
    <w:rsid w:val="00460C2E"/>
    <w:pPr>
      <w:numPr>
        <w:numId w:val="8"/>
      </w:numPr>
      <w:contextualSpacing/>
    </w:pPr>
  </w:style>
  <w:style w:type="paragraph" w:styleId="ListContinue">
    <w:name w:val="List Continue"/>
    <w:basedOn w:val="Normal"/>
    <w:rsid w:val="00460C2E"/>
    <w:pPr>
      <w:spacing w:after="120"/>
      <w:ind w:left="360"/>
      <w:contextualSpacing/>
    </w:pPr>
  </w:style>
  <w:style w:type="paragraph" w:styleId="ListContinue2">
    <w:name w:val="List Continue 2"/>
    <w:basedOn w:val="Normal"/>
    <w:rsid w:val="00460C2E"/>
    <w:pPr>
      <w:spacing w:after="120"/>
      <w:ind w:left="720"/>
      <w:contextualSpacing/>
    </w:pPr>
  </w:style>
  <w:style w:type="paragraph" w:styleId="ListContinue3">
    <w:name w:val="List Continue 3"/>
    <w:basedOn w:val="Normal"/>
    <w:rsid w:val="00460C2E"/>
    <w:pPr>
      <w:spacing w:after="120"/>
      <w:ind w:left="1080"/>
      <w:contextualSpacing/>
    </w:pPr>
  </w:style>
  <w:style w:type="paragraph" w:styleId="ListContinue4">
    <w:name w:val="List Continue 4"/>
    <w:basedOn w:val="Normal"/>
    <w:rsid w:val="00460C2E"/>
    <w:pPr>
      <w:spacing w:after="120"/>
      <w:ind w:left="1440"/>
      <w:contextualSpacing/>
    </w:pPr>
  </w:style>
  <w:style w:type="paragraph" w:styleId="ListContinue5">
    <w:name w:val="List Continue 5"/>
    <w:basedOn w:val="Normal"/>
    <w:rsid w:val="00460C2E"/>
    <w:pPr>
      <w:spacing w:after="120"/>
      <w:ind w:left="1800"/>
      <w:contextualSpacing/>
    </w:pPr>
  </w:style>
  <w:style w:type="paragraph" w:styleId="ListNumber">
    <w:name w:val="List Number"/>
    <w:basedOn w:val="Normal"/>
    <w:rsid w:val="00460C2E"/>
    <w:pPr>
      <w:numPr>
        <w:numId w:val="4"/>
      </w:numPr>
      <w:contextualSpacing/>
    </w:pPr>
  </w:style>
  <w:style w:type="paragraph" w:styleId="ListNumber2">
    <w:name w:val="List Number 2"/>
    <w:basedOn w:val="Normal"/>
    <w:rsid w:val="00460C2E"/>
    <w:pPr>
      <w:numPr>
        <w:numId w:val="9"/>
      </w:numPr>
      <w:contextualSpacing/>
    </w:pPr>
  </w:style>
  <w:style w:type="paragraph" w:styleId="ListNumber3">
    <w:name w:val="List Number 3"/>
    <w:basedOn w:val="Normal"/>
    <w:rsid w:val="00460C2E"/>
    <w:pPr>
      <w:numPr>
        <w:numId w:val="10"/>
      </w:numPr>
      <w:contextualSpacing/>
    </w:pPr>
  </w:style>
  <w:style w:type="paragraph" w:styleId="ListNumber4">
    <w:name w:val="List Number 4"/>
    <w:basedOn w:val="Normal"/>
    <w:rsid w:val="00460C2E"/>
    <w:pPr>
      <w:numPr>
        <w:numId w:val="11"/>
      </w:numPr>
      <w:contextualSpacing/>
    </w:pPr>
  </w:style>
  <w:style w:type="paragraph" w:styleId="ListNumber5">
    <w:name w:val="List Number 5"/>
    <w:basedOn w:val="Normal"/>
    <w:rsid w:val="00460C2E"/>
    <w:pPr>
      <w:numPr>
        <w:numId w:val="12"/>
      </w:numPr>
      <w:contextualSpacing/>
    </w:pPr>
  </w:style>
  <w:style w:type="paragraph" w:styleId="MessageHeader">
    <w:name w:val="Message Header"/>
    <w:basedOn w:val="Normal"/>
    <w:link w:val="MessageHeaderChar"/>
    <w:unhideWhenUsed/>
    <w:rsid w:val="00460C2E"/>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eastAsiaTheme="majorEastAsia" w:cstheme="majorBidi"/>
      <w:sz w:val="24"/>
      <w:szCs w:val="24"/>
    </w:rPr>
  </w:style>
  <w:style w:type="character" w:customStyle="1" w:styleId="MessageHeaderChar">
    <w:name w:val="Message Header Char"/>
    <w:basedOn w:val="DefaultParagraphFont"/>
    <w:link w:val="MessageHeader"/>
    <w:rsid w:val="00460C2E"/>
    <w:rPr>
      <w:rFonts w:eastAsiaTheme="majorEastAsia" w:cstheme="majorBidi"/>
      <w:sz w:val="24"/>
      <w:szCs w:val="24"/>
      <w:shd w:val="pct20" w:color="auto" w:fill="auto"/>
    </w:rPr>
  </w:style>
  <w:style w:type="paragraph" w:styleId="NormalWeb">
    <w:name w:val="Normal (Web)"/>
    <w:basedOn w:val="Normal"/>
    <w:rsid w:val="00460C2E"/>
    <w:rPr>
      <w:sz w:val="24"/>
      <w:szCs w:val="24"/>
    </w:rPr>
  </w:style>
  <w:style w:type="paragraph" w:styleId="NormalIndent">
    <w:name w:val="Normal Indent"/>
    <w:basedOn w:val="Normal"/>
    <w:rsid w:val="00460C2E"/>
    <w:pPr>
      <w:ind w:left="720"/>
    </w:pPr>
  </w:style>
  <w:style w:type="paragraph" w:styleId="Subtitle">
    <w:name w:val="Subtitle"/>
    <w:basedOn w:val="Normal"/>
    <w:next w:val="Normal"/>
    <w:link w:val="SubtitleChar"/>
    <w:rsid w:val="00460C2E"/>
    <w:pPr>
      <w:numPr>
        <w:ilvl w:val="1"/>
      </w:numPr>
    </w:pPr>
    <w:rPr>
      <w:rFonts w:eastAsiaTheme="majorEastAsia" w:cstheme="majorBidi"/>
      <w:i/>
      <w:iCs/>
      <w:color w:val="003591" w:themeColor="accent1"/>
      <w:spacing w:val="15"/>
      <w:sz w:val="24"/>
      <w:szCs w:val="24"/>
    </w:rPr>
  </w:style>
  <w:style w:type="character" w:customStyle="1" w:styleId="SubtitleChar">
    <w:name w:val="Subtitle Char"/>
    <w:basedOn w:val="DefaultParagraphFont"/>
    <w:link w:val="Subtitle"/>
    <w:rsid w:val="00460C2E"/>
    <w:rPr>
      <w:rFonts w:eastAsiaTheme="majorEastAsia" w:cstheme="majorBidi"/>
      <w:i/>
      <w:iCs/>
      <w:color w:val="003591" w:themeColor="accent1"/>
      <w:spacing w:val="15"/>
      <w:sz w:val="24"/>
      <w:szCs w:val="24"/>
    </w:rPr>
  </w:style>
  <w:style w:type="paragraph" w:styleId="Title">
    <w:name w:val="Title"/>
    <w:basedOn w:val="Normal"/>
    <w:next w:val="Normal"/>
    <w:link w:val="TitleChar"/>
    <w:rsid w:val="00460C2E"/>
    <w:pPr>
      <w:pBdr>
        <w:bottom w:val="single" w:sz="8" w:space="4" w:color="003591" w:themeColor="accent1"/>
      </w:pBdr>
      <w:spacing w:after="300" w:line="240" w:lineRule="auto"/>
      <w:contextualSpacing/>
    </w:pPr>
    <w:rPr>
      <w:rFonts w:eastAsiaTheme="majorEastAsia" w:cstheme="majorBidi"/>
      <w:color w:val="00276C" w:themeColor="text2" w:themeShade="BF"/>
      <w:spacing w:val="5"/>
      <w:kern w:val="28"/>
      <w:sz w:val="52"/>
      <w:szCs w:val="52"/>
    </w:rPr>
  </w:style>
  <w:style w:type="character" w:customStyle="1" w:styleId="TitleChar">
    <w:name w:val="Title Char"/>
    <w:basedOn w:val="DefaultParagraphFont"/>
    <w:link w:val="Title"/>
    <w:rsid w:val="00460C2E"/>
    <w:rPr>
      <w:rFonts w:eastAsiaTheme="majorEastAsia" w:cstheme="majorBidi"/>
      <w:color w:val="00276C" w:themeColor="text2" w:themeShade="BF"/>
      <w:spacing w:val="5"/>
      <w:kern w:val="28"/>
      <w:sz w:val="52"/>
      <w:szCs w:val="52"/>
    </w:rPr>
  </w:style>
  <w:style w:type="paragraph" w:styleId="TOAHeading">
    <w:name w:val="toa heading"/>
    <w:basedOn w:val="Normal"/>
    <w:next w:val="Normal"/>
    <w:rsid w:val="00460C2E"/>
    <w:pPr>
      <w:spacing w:before="120"/>
    </w:pPr>
    <w:rPr>
      <w:rFonts w:eastAsiaTheme="majorEastAsia" w:cstheme="majorBidi"/>
      <w:b/>
      <w:bCs/>
      <w:color w:val="0091C4"/>
      <w:sz w:val="24"/>
      <w:szCs w:val="24"/>
    </w:rPr>
  </w:style>
  <w:style w:type="paragraph" w:styleId="TOCHeading">
    <w:name w:val="TOC Heading"/>
    <w:basedOn w:val="Heading1"/>
    <w:next w:val="Normal"/>
    <w:uiPriority w:val="39"/>
    <w:semiHidden/>
    <w:unhideWhenUsed/>
    <w:qFormat/>
    <w:rsid w:val="00460C2E"/>
    <w:pPr>
      <w:keepLines/>
      <w:numPr>
        <w:numId w:val="0"/>
      </w:numPr>
      <w:spacing w:before="480" w:after="0"/>
      <w:outlineLvl w:val="9"/>
    </w:pPr>
    <w:rPr>
      <w:rFonts w:eastAsiaTheme="majorEastAsia" w:cstheme="majorBidi"/>
      <w:bCs/>
      <w:color w:val="00276C" w:themeColor="accent1" w:themeShade="BF"/>
      <w:kern w:val="0"/>
      <w:sz w:val="28"/>
      <w:szCs w:val="28"/>
    </w:rPr>
  </w:style>
  <w:style w:type="paragraph" w:customStyle="1" w:styleId="CharChar3CharCharChar">
    <w:name w:val="Char Char3 Char Char Char"/>
    <w:basedOn w:val="Normal"/>
    <w:rsid w:val="00460C2E"/>
    <w:pPr>
      <w:spacing w:after="160" w:line="240" w:lineRule="exact"/>
    </w:pPr>
    <w:rPr>
      <w:rFonts w:ascii="Verdana" w:hAnsi="Verdana"/>
      <w:sz w:val="20"/>
      <w:szCs w:val="20"/>
    </w:rPr>
  </w:style>
  <w:style w:type="paragraph" w:customStyle="1" w:styleId="ProjectTitle">
    <w:name w:val="Project Title"/>
    <w:basedOn w:val="Normal"/>
    <w:next w:val="ParaText"/>
    <w:rsid w:val="003038B9"/>
    <w:pPr>
      <w:spacing w:before="120" w:line="240" w:lineRule="auto"/>
    </w:pPr>
    <w:rPr>
      <w:rFonts w:eastAsiaTheme="minorEastAsia"/>
      <w:b/>
      <w:color w:val="0F204B" w:themeColor="accent4"/>
      <w:lang w:eastAsia="zh-CN"/>
    </w:rPr>
  </w:style>
  <w:style w:type="paragraph" w:customStyle="1" w:styleId="Name">
    <w:name w:val="Name"/>
    <w:basedOn w:val="Normal"/>
    <w:next w:val="Normal"/>
    <w:rsid w:val="00E37F49"/>
    <w:pPr>
      <w:pageBreakBefore/>
      <w:tabs>
        <w:tab w:val="center" w:pos="4320"/>
        <w:tab w:val="right" w:pos="8640"/>
      </w:tabs>
      <w:spacing w:after="240" w:line="240" w:lineRule="auto"/>
    </w:pPr>
    <w:rPr>
      <w:rFonts w:asciiTheme="majorHAnsi" w:eastAsiaTheme="minorEastAsia" w:hAnsiTheme="majorHAnsi"/>
      <w:color w:val="666666"/>
      <w:sz w:val="36"/>
      <w:szCs w:val="40"/>
      <w:lang w:eastAsia="zh-CN"/>
    </w:rPr>
  </w:style>
  <w:style w:type="paragraph" w:customStyle="1" w:styleId="ResumeBullet">
    <w:name w:val="Resume Bullet"/>
    <w:basedOn w:val="Normal"/>
    <w:rsid w:val="001E49D3"/>
    <w:pPr>
      <w:spacing w:before="60" w:after="60" w:line="240" w:lineRule="atLeast"/>
      <w:ind w:left="1080" w:hanging="360"/>
    </w:pPr>
    <w:rPr>
      <w:rFonts w:asciiTheme="minorHAnsi" w:hAnsiTheme="minorHAnsi"/>
    </w:rPr>
  </w:style>
  <w:style w:type="paragraph" w:customStyle="1" w:styleId="ResumeHeading">
    <w:name w:val="Resume Heading"/>
    <w:basedOn w:val="Normal"/>
    <w:rsid w:val="00E37F49"/>
    <w:pPr>
      <w:keepNext/>
      <w:spacing w:before="240" w:after="60" w:line="240" w:lineRule="auto"/>
    </w:pPr>
    <w:rPr>
      <w:rFonts w:asciiTheme="minorHAnsi" w:eastAsiaTheme="minorEastAsia" w:hAnsiTheme="minorHAnsi"/>
      <w:b/>
      <w:color w:val="003591" w:themeColor="text2"/>
      <w:sz w:val="26"/>
      <w:szCs w:val="24"/>
      <w:lang w:eastAsia="zh-CN"/>
    </w:rPr>
  </w:style>
  <w:style w:type="paragraph" w:customStyle="1" w:styleId="Resumebulletindent">
    <w:name w:val="Resume bullet indent"/>
    <w:basedOn w:val="Normal"/>
    <w:rsid w:val="00E37F49"/>
    <w:pPr>
      <w:numPr>
        <w:numId w:val="18"/>
      </w:numPr>
      <w:spacing w:before="60" w:after="60" w:line="240" w:lineRule="atLeast"/>
    </w:pPr>
    <w:rPr>
      <w:rFonts w:asciiTheme="minorHAnsi" w:eastAsiaTheme="minorEastAsia" w:hAnsiTheme="minorHAnsi"/>
      <w:szCs w:val="20"/>
      <w:lang w:eastAsia="zh-CN"/>
    </w:rPr>
  </w:style>
  <w:style w:type="paragraph" w:customStyle="1" w:styleId="Resumetext">
    <w:name w:val="Resume text"/>
    <w:basedOn w:val="Normal"/>
    <w:rsid w:val="001E49D3"/>
    <w:pPr>
      <w:tabs>
        <w:tab w:val="left" w:pos="-720"/>
      </w:tabs>
      <w:spacing w:before="120" w:line="240" w:lineRule="atLeast"/>
    </w:pPr>
    <w:rPr>
      <w:rFonts w:asciiTheme="minorHAnsi" w:hAnsiTheme="minorHAnsi"/>
      <w:szCs w:val="20"/>
    </w:rPr>
  </w:style>
  <w:style w:type="paragraph" w:customStyle="1" w:styleId="ResumeHeadingindent">
    <w:name w:val="Resume Heading indent"/>
    <w:basedOn w:val="Normal"/>
    <w:rsid w:val="00E37F49"/>
    <w:pPr>
      <w:keepLines/>
      <w:tabs>
        <w:tab w:val="left" w:pos="-720"/>
      </w:tabs>
      <w:spacing w:before="180" w:after="120" w:line="240" w:lineRule="atLeast"/>
      <w:ind w:left="360"/>
    </w:pPr>
    <w:rPr>
      <w:rFonts w:asciiTheme="minorHAnsi" w:eastAsiaTheme="minorEastAsia" w:hAnsiTheme="minorHAnsi"/>
      <w:b/>
      <w:szCs w:val="20"/>
      <w:lang w:eastAsia="zh-CN"/>
    </w:rPr>
  </w:style>
  <w:style w:type="paragraph" w:customStyle="1" w:styleId="Resumetext2">
    <w:name w:val="Resume text 2"/>
    <w:basedOn w:val="Resumetext"/>
    <w:rsid w:val="001E49D3"/>
    <w:pPr>
      <w:spacing w:before="0"/>
    </w:pPr>
  </w:style>
  <w:style w:type="paragraph" w:customStyle="1" w:styleId="Resumetextindent">
    <w:name w:val="Resume text indent"/>
    <w:basedOn w:val="Resumetext"/>
    <w:rsid w:val="001E49D3"/>
    <w:pPr>
      <w:ind w:left="360"/>
    </w:pPr>
  </w:style>
  <w:style w:type="paragraph" w:styleId="NoSpacing">
    <w:name w:val="No Spacing"/>
    <w:uiPriority w:val="1"/>
    <w:qFormat/>
    <w:rsid w:val="00933580"/>
    <w:pPr>
      <w:spacing w:line="240" w:lineRule="auto"/>
    </w:pPr>
    <w:rPr>
      <w:rFonts w:asciiTheme="minorHAnsi" w:eastAsiaTheme="minorHAnsi" w:hAnsiTheme="minorHAnsi" w:cstheme="minorBidi"/>
      <w:color w:val="003591" w:themeColor="text2"/>
      <w:sz w:val="20"/>
      <w:szCs w:val="20"/>
    </w:rPr>
  </w:style>
  <w:style w:type="paragraph" w:customStyle="1" w:styleId="pJ">
    <w:name w:val="pJ"/>
    <w:next w:val="Normal"/>
    <w:rsid w:val="00E72B30"/>
    <w:pPr>
      <w:spacing w:after="130" w:line="320" w:lineRule="atLeast"/>
      <w:ind w:left="720" w:hanging="432"/>
      <w:jc w:val="both"/>
    </w:pPr>
    <w:rPr>
      <w:rFonts w:ascii="Times New Roman" w:hAnsi="Times New Roman"/>
      <w:sz w:val="24"/>
      <w:szCs w:val="24"/>
    </w:rPr>
  </w:style>
  <w:style w:type="numbering" w:customStyle="1" w:styleId="CnAListBullets">
    <w:name w:val="CnAListBullets"/>
    <w:uiPriority w:val="99"/>
    <w:rsid w:val="00E72B30"/>
    <w:pPr>
      <w:numPr>
        <w:numId w:val="20"/>
      </w:numPr>
    </w:pPr>
  </w:style>
  <w:style w:type="character" w:customStyle="1" w:styleId="FootnoteTextChar">
    <w:name w:val="Footnote Text Char"/>
    <w:aliases w:val="DFSListFootnote Char"/>
    <w:basedOn w:val="DefaultParagraphFont"/>
    <w:link w:val="FootnoteText"/>
    <w:uiPriority w:val="99"/>
    <w:rsid w:val="00E72B30"/>
    <w:rPr>
      <w:rFonts w:ascii="Calibri" w:hAnsi="Calibri"/>
      <w:sz w:val="20"/>
      <w:szCs w:val="20"/>
    </w:rPr>
  </w:style>
  <w:style w:type="character" w:styleId="CommentReference">
    <w:name w:val="annotation reference"/>
    <w:basedOn w:val="DefaultParagraphFont"/>
    <w:semiHidden/>
    <w:unhideWhenUsed/>
    <w:rsid w:val="004D6E18"/>
    <w:rPr>
      <w:sz w:val="16"/>
      <w:szCs w:val="16"/>
    </w:rPr>
  </w:style>
  <w:style w:type="character" w:styleId="PlaceholderText">
    <w:name w:val="Placeholder Text"/>
    <w:basedOn w:val="DefaultParagraphFont"/>
    <w:uiPriority w:val="99"/>
    <w:semiHidden/>
    <w:rsid w:val="0050356F"/>
    <w:rPr>
      <w:color w:val="808080"/>
    </w:rPr>
  </w:style>
  <w:style w:type="paragraph" w:customStyle="1" w:styleId="Default">
    <w:name w:val="Default"/>
    <w:rsid w:val="004444FE"/>
    <w:pPr>
      <w:autoSpaceDE w:val="0"/>
      <w:autoSpaceDN w:val="0"/>
      <w:adjustRightInd w:val="0"/>
      <w:spacing w:line="240" w:lineRule="auto"/>
    </w:pPr>
    <w:rPr>
      <w:rFonts w:ascii="Times New Roman" w:eastAsiaTheme="minorEastAsia" w:hAnsi="Times New Roman"/>
      <w:color w:val="000000"/>
      <w:sz w:val="24"/>
      <w:szCs w:val="24"/>
      <w:lang w:eastAsia="zh-CN"/>
    </w:rPr>
  </w:style>
  <w:style w:type="character" w:customStyle="1" w:styleId="CaptionChar">
    <w:name w:val="Caption Char"/>
    <w:aliases w:val="Table Caption Char Char,Table Caption Char1"/>
    <w:link w:val="Caption"/>
    <w:locked/>
    <w:rsid w:val="004444FE"/>
    <w:rPr>
      <w:rFonts w:ascii="Calibri" w:hAnsi="Calibri"/>
      <w:b/>
    </w:rPr>
  </w:style>
  <w:style w:type="table" w:styleId="LightList-Accent2">
    <w:name w:val="Light List Accent 2"/>
    <w:basedOn w:val="TableNormal"/>
    <w:uiPriority w:val="61"/>
    <w:rsid w:val="004444FE"/>
    <w:pPr>
      <w:spacing w:line="240" w:lineRule="auto"/>
    </w:pPr>
    <w:tblPr>
      <w:tblStyleRowBandSize w:val="1"/>
      <w:tblStyleColBandSize w:val="1"/>
      <w:tblBorders>
        <w:top w:val="single" w:sz="8" w:space="0" w:color="3F9C35" w:themeColor="accent2"/>
        <w:left w:val="single" w:sz="8" w:space="0" w:color="3F9C35" w:themeColor="accent2"/>
        <w:bottom w:val="single" w:sz="8" w:space="0" w:color="3F9C35" w:themeColor="accent2"/>
        <w:right w:val="single" w:sz="8" w:space="0" w:color="3F9C35" w:themeColor="accent2"/>
      </w:tblBorders>
    </w:tblPr>
    <w:tblStylePr w:type="firstRow">
      <w:pPr>
        <w:spacing w:before="0" w:after="0" w:line="240" w:lineRule="auto"/>
      </w:pPr>
      <w:rPr>
        <w:b/>
        <w:bCs/>
        <w:color w:val="FFFFFF" w:themeColor="background1"/>
      </w:rPr>
      <w:tblPr/>
      <w:tcPr>
        <w:shd w:val="clear" w:color="auto" w:fill="3F9C35" w:themeFill="accent2"/>
      </w:tcPr>
    </w:tblStylePr>
    <w:tblStylePr w:type="lastRow">
      <w:pPr>
        <w:spacing w:before="0" w:after="0" w:line="240" w:lineRule="auto"/>
      </w:pPr>
      <w:rPr>
        <w:b/>
        <w:bCs/>
      </w:rPr>
      <w:tblPr/>
      <w:tcPr>
        <w:tcBorders>
          <w:top w:val="double" w:sz="6" w:space="0" w:color="3F9C35" w:themeColor="accent2"/>
          <w:left w:val="single" w:sz="8" w:space="0" w:color="3F9C35" w:themeColor="accent2"/>
          <w:bottom w:val="single" w:sz="8" w:space="0" w:color="3F9C35" w:themeColor="accent2"/>
          <w:right w:val="single" w:sz="8" w:space="0" w:color="3F9C35" w:themeColor="accent2"/>
        </w:tcBorders>
      </w:tcPr>
    </w:tblStylePr>
    <w:tblStylePr w:type="firstCol">
      <w:rPr>
        <w:b/>
        <w:bCs/>
      </w:rPr>
    </w:tblStylePr>
    <w:tblStylePr w:type="lastCol">
      <w:rPr>
        <w:b/>
        <w:bCs/>
      </w:rPr>
    </w:tblStylePr>
    <w:tblStylePr w:type="band1Vert">
      <w:tblPr/>
      <w:tcPr>
        <w:tcBorders>
          <w:top w:val="single" w:sz="8" w:space="0" w:color="3F9C35" w:themeColor="accent2"/>
          <w:left w:val="single" w:sz="8" w:space="0" w:color="3F9C35" w:themeColor="accent2"/>
          <w:bottom w:val="single" w:sz="8" w:space="0" w:color="3F9C35" w:themeColor="accent2"/>
          <w:right w:val="single" w:sz="8" w:space="0" w:color="3F9C35" w:themeColor="accent2"/>
        </w:tcBorders>
      </w:tcPr>
    </w:tblStylePr>
    <w:tblStylePr w:type="band1Horz">
      <w:tblPr/>
      <w:tcPr>
        <w:tcBorders>
          <w:top w:val="single" w:sz="8" w:space="0" w:color="3F9C35" w:themeColor="accent2"/>
          <w:left w:val="single" w:sz="8" w:space="0" w:color="3F9C35" w:themeColor="accent2"/>
          <w:bottom w:val="single" w:sz="8" w:space="0" w:color="3F9C35" w:themeColor="accent2"/>
          <w:right w:val="single" w:sz="8" w:space="0" w:color="3F9C35" w:themeColor="accent2"/>
        </w:tcBorders>
      </w:tcPr>
    </w:tblStylePr>
  </w:style>
  <w:style w:type="paragraph" w:styleId="Revision">
    <w:name w:val="Revision"/>
    <w:hidden/>
    <w:uiPriority w:val="99"/>
    <w:semiHidden/>
    <w:rsid w:val="00A53E5B"/>
    <w:pPr>
      <w:spacing w:line="240" w:lineRule="auto"/>
    </w:pPr>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696215">
      <w:bodyDiv w:val="1"/>
      <w:marLeft w:val="0"/>
      <w:marRight w:val="0"/>
      <w:marTop w:val="0"/>
      <w:marBottom w:val="0"/>
      <w:divBdr>
        <w:top w:val="none" w:sz="0" w:space="0" w:color="auto"/>
        <w:left w:val="none" w:sz="0" w:space="0" w:color="auto"/>
        <w:bottom w:val="none" w:sz="0" w:space="0" w:color="auto"/>
        <w:right w:val="none" w:sz="0" w:space="0" w:color="auto"/>
      </w:divBdr>
      <w:divsChild>
        <w:div w:id="1431897262">
          <w:marLeft w:val="0"/>
          <w:marRight w:val="0"/>
          <w:marTop w:val="0"/>
          <w:marBottom w:val="0"/>
          <w:divBdr>
            <w:top w:val="none" w:sz="0" w:space="0" w:color="auto"/>
            <w:left w:val="none" w:sz="0" w:space="0" w:color="auto"/>
            <w:bottom w:val="none" w:sz="0" w:space="0" w:color="auto"/>
            <w:right w:val="none" w:sz="0" w:space="0" w:color="auto"/>
          </w:divBdr>
          <w:divsChild>
            <w:div w:id="1097599125">
              <w:marLeft w:val="0"/>
              <w:marRight w:val="0"/>
              <w:marTop w:val="0"/>
              <w:marBottom w:val="0"/>
              <w:divBdr>
                <w:top w:val="none" w:sz="0" w:space="0" w:color="auto"/>
                <w:left w:val="none" w:sz="0" w:space="0" w:color="auto"/>
                <w:bottom w:val="none" w:sz="0" w:space="0" w:color="auto"/>
                <w:right w:val="none" w:sz="0" w:space="0" w:color="auto"/>
              </w:divBdr>
              <w:divsChild>
                <w:div w:id="363674933">
                  <w:marLeft w:val="0"/>
                  <w:marRight w:val="0"/>
                  <w:marTop w:val="0"/>
                  <w:marBottom w:val="0"/>
                  <w:divBdr>
                    <w:top w:val="none" w:sz="0" w:space="0" w:color="auto"/>
                    <w:left w:val="none" w:sz="0" w:space="0" w:color="auto"/>
                    <w:bottom w:val="none" w:sz="0" w:space="0" w:color="auto"/>
                    <w:right w:val="none" w:sz="0" w:space="0" w:color="auto"/>
                  </w:divBdr>
                  <w:divsChild>
                    <w:div w:id="221255529">
                      <w:marLeft w:val="0"/>
                      <w:marRight w:val="0"/>
                      <w:marTop w:val="0"/>
                      <w:marBottom w:val="0"/>
                      <w:divBdr>
                        <w:top w:val="none" w:sz="0" w:space="0" w:color="auto"/>
                        <w:left w:val="none" w:sz="0" w:space="0" w:color="auto"/>
                        <w:bottom w:val="none" w:sz="0" w:space="0" w:color="auto"/>
                        <w:right w:val="none" w:sz="0" w:space="0" w:color="auto"/>
                      </w:divBdr>
                      <w:divsChild>
                        <w:div w:id="401371631">
                          <w:marLeft w:val="0"/>
                          <w:marRight w:val="0"/>
                          <w:marTop w:val="0"/>
                          <w:marBottom w:val="0"/>
                          <w:divBdr>
                            <w:top w:val="none" w:sz="0" w:space="0" w:color="auto"/>
                            <w:left w:val="none" w:sz="0" w:space="0" w:color="auto"/>
                            <w:bottom w:val="none" w:sz="0" w:space="0" w:color="auto"/>
                            <w:right w:val="none" w:sz="0" w:space="0" w:color="auto"/>
                          </w:divBdr>
                          <w:divsChild>
                            <w:div w:id="1418408407">
                              <w:marLeft w:val="0"/>
                              <w:marRight w:val="0"/>
                              <w:marTop w:val="0"/>
                              <w:marBottom w:val="0"/>
                              <w:divBdr>
                                <w:top w:val="none" w:sz="0" w:space="0" w:color="auto"/>
                                <w:left w:val="none" w:sz="0" w:space="0" w:color="auto"/>
                                <w:bottom w:val="none" w:sz="0" w:space="0" w:color="auto"/>
                                <w:right w:val="none" w:sz="0" w:space="0" w:color="auto"/>
                              </w:divBdr>
                              <w:divsChild>
                                <w:div w:id="929777054">
                                  <w:marLeft w:val="0"/>
                                  <w:marRight w:val="0"/>
                                  <w:marTop w:val="0"/>
                                  <w:marBottom w:val="0"/>
                                  <w:divBdr>
                                    <w:top w:val="none" w:sz="0" w:space="0" w:color="auto"/>
                                    <w:left w:val="none" w:sz="0" w:space="0" w:color="auto"/>
                                    <w:bottom w:val="none" w:sz="0" w:space="0" w:color="auto"/>
                                    <w:right w:val="none" w:sz="0" w:space="0" w:color="auto"/>
                                  </w:divBdr>
                                  <w:divsChild>
                                    <w:div w:id="920525734">
                                      <w:marLeft w:val="0"/>
                                      <w:marRight w:val="34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0024245">
      <w:bodyDiv w:val="1"/>
      <w:marLeft w:val="0"/>
      <w:marRight w:val="0"/>
      <w:marTop w:val="0"/>
      <w:marBottom w:val="0"/>
      <w:divBdr>
        <w:top w:val="none" w:sz="0" w:space="0" w:color="auto"/>
        <w:left w:val="none" w:sz="0" w:space="0" w:color="auto"/>
        <w:bottom w:val="none" w:sz="0" w:space="0" w:color="auto"/>
        <w:right w:val="none" w:sz="0" w:space="0" w:color="auto"/>
      </w:divBdr>
    </w:div>
    <w:div w:id="295259128">
      <w:bodyDiv w:val="1"/>
      <w:marLeft w:val="0"/>
      <w:marRight w:val="0"/>
      <w:marTop w:val="0"/>
      <w:marBottom w:val="0"/>
      <w:divBdr>
        <w:top w:val="none" w:sz="0" w:space="0" w:color="auto"/>
        <w:left w:val="none" w:sz="0" w:space="0" w:color="auto"/>
        <w:bottom w:val="none" w:sz="0" w:space="0" w:color="auto"/>
        <w:right w:val="none" w:sz="0" w:space="0" w:color="auto"/>
      </w:divBdr>
      <w:divsChild>
        <w:div w:id="315887204">
          <w:marLeft w:val="0"/>
          <w:marRight w:val="0"/>
          <w:marTop w:val="0"/>
          <w:marBottom w:val="0"/>
          <w:divBdr>
            <w:top w:val="none" w:sz="0" w:space="0" w:color="auto"/>
            <w:left w:val="none" w:sz="0" w:space="0" w:color="auto"/>
            <w:bottom w:val="none" w:sz="0" w:space="0" w:color="auto"/>
            <w:right w:val="none" w:sz="0" w:space="0" w:color="auto"/>
          </w:divBdr>
          <w:divsChild>
            <w:div w:id="1538348989">
              <w:marLeft w:val="0"/>
              <w:marRight w:val="0"/>
              <w:marTop w:val="0"/>
              <w:marBottom w:val="0"/>
              <w:divBdr>
                <w:top w:val="none" w:sz="0" w:space="0" w:color="auto"/>
                <w:left w:val="none" w:sz="0" w:space="0" w:color="auto"/>
                <w:bottom w:val="none" w:sz="0" w:space="0" w:color="auto"/>
                <w:right w:val="none" w:sz="0" w:space="0" w:color="auto"/>
              </w:divBdr>
              <w:divsChild>
                <w:div w:id="348221564">
                  <w:marLeft w:val="0"/>
                  <w:marRight w:val="0"/>
                  <w:marTop w:val="0"/>
                  <w:marBottom w:val="0"/>
                  <w:divBdr>
                    <w:top w:val="none" w:sz="0" w:space="0" w:color="auto"/>
                    <w:left w:val="none" w:sz="0" w:space="0" w:color="auto"/>
                    <w:bottom w:val="none" w:sz="0" w:space="0" w:color="auto"/>
                    <w:right w:val="none" w:sz="0" w:space="0" w:color="auto"/>
                  </w:divBdr>
                  <w:divsChild>
                    <w:div w:id="622081799">
                      <w:marLeft w:val="0"/>
                      <w:marRight w:val="0"/>
                      <w:marTop w:val="0"/>
                      <w:marBottom w:val="0"/>
                      <w:divBdr>
                        <w:top w:val="none" w:sz="0" w:space="0" w:color="auto"/>
                        <w:left w:val="none" w:sz="0" w:space="0" w:color="auto"/>
                        <w:bottom w:val="none" w:sz="0" w:space="0" w:color="auto"/>
                        <w:right w:val="none" w:sz="0" w:space="0" w:color="auto"/>
                      </w:divBdr>
                      <w:divsChild>
                        <w:div w:id="2004428206">
                          <w:marLeft w:val="0"/>
                          <w:marRight w:val="0"/>
                          <w:marTop w:val="0"/>
                          <w:marBottom w:val="0"/>
                          <w:divBdr>
                            <w:top w:val="none" w:sz="0" w:space="0" w:color="auto"/>
                            <w:left w:val="none" w:sz="0" w:space="0" w:color="auto"/>
                            <w:bottom w:val="none" w:sz="0" w:space="0" w:color="auto"/>
                            <w:right w:val="none" w:sz="0" w:space="0" w:color="auto"/>
                          </w:divBdr>
                          <w:divsChild>
                            <w:div w:id="884682475">
                              <w:marLeft w:val="0"/>
                              <w:marRight w:val="0"/>
                              <w:marTop w:val="0"/>
                              <w:marBottom w:val="0"/>
                              <w:divBdr>
                                <w:top w:val="none" w:sz="0" w:space="0" w:color="auto"/>
                                <w:left w:val="none" w:sz="0" w:space="0" w:color="auto"/>
                                <w:bottom w:val="none" w:sz="0" w:space="0" w:color="auto"/>
                                <w:right w:val="none" w:sz="0" w:space="0" w:color="auto"/>
                              </w:divBdr>
                              <w:divsChild>
                                <w:div w:id="131220499">
                                  <w:marLeft w:val="0"/>
                                  <w:marRight w:val="0"/>
                                  <w:marTop w:val="0"/>
                                  <w:marBottom w:val="0"/>
                                  <w:divBdr>
                                    <w:top w:val="none" w:sz="0" w:space="0" w:color="auto"/>
                                    <w:left w:val="none" w:sz="0" w:space="0" w:color="auto"/>
                                    <w:bottom w:val="none" w:sz="0" w:space="0" w:color="auto"/>
                                    <w:right w:val="none" w:sz="0" w:space="0" w:color="auto"/>
                                  </w:divBdr>
                                  <w:divsChild>
                                    <w:div w:id="2008744340">
                                      <w:marLeft w:val="0"/>
                                      <w:marRight w:val="34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4429619">
      <w:bodyDiv w:val="1"/>
      <w:marLeft w:val="0"/>
      <w:marRight w:val="0"/>
      <w:marTop w:val="0"/>
      <w:marBottom w:val="0"/>
      <w:divBdr>
        <w:top w:val="none" w:sz="0" w:space="0" w:color="auto"/>
        <w:left w:val="none" w:sz="0" w:space="0" w:color="auto"/>
        <w:bottom w:val="none" w:sz="0" w:space="0" w:color="auto"/>
        <w:right w:val="none" w:sz="0" w:space="0" w:color="auto"/>
      </w:divBdr>
      <w:divsChild>
        <w:div w:id="471026951">
          <w:marLeft w:val="0"/>
          <w:marRight w:val="0"/>
          <w:marTop w:val="0"/>
          <w:marBottom w:val="0"/>
          <w:divBdr>
            <w:top w:val="none" w:sz="0" w:space="0" w:color="auto"/>
            <w:left w:val="none" w:sz="0" w:space="0" w:color="auto"/>
            <w:bottom w:val="none" w:sz="0" w:space="0" w:color="auto"/>
            <w:right w:val="none" w:sz="0" w:space="0" w:color="auto"/>
          </w:divBdr>
          <w:divsChild>
            <w:div w:id="300110778">
              <w:marLeft w:val="0"/>
              <w:marRight w:val="0"/>
              <w:marTop w:val="0"/>
              <w:marBottom w:val="0"/>
              <w:divBdr>
                <w:top w:val="none" w:sz="0" w:space="0" w:color="auto"/>
                <w:left w:val="none" w:sz="0" w:space="0" w:color="auto"/>
                <w:bottom w:val="none" w:sz="0" w:space="0" w:color="auto"/>
                <w:right w:val="none" w:sz="0" w:space="0" w:color="auto"/>
              </w:divBdr>
              <w:divsChild>
                <w:div w:id="719133144">
                  <w:marLeft w:val="0"/>
                  <w:marRight w:val="0"/>
                  <w:marTop w:val="0"/>
                  <w:marBottom w:val="0"/>
                  <w:divBdr>
                    <w:top w:val="none" w:sz="0" w:space="0" w:color="auto"/>
                    <w:left w:val="none" w:sz="0" w:space="0" w:color="auto"/>
                    <w:bottom w:val="none" w:sz="0" w:space="0" w:color="auto"/>
                    <w:right w:val="none" w:sz="0" w:space="0" w:color="auto"/>
                  </w:divBdr>
                  <w:divsChild>
                    <w:div w:id="687482694">
                      <w:marLeft w:val="0"/>
                      <w:marRight w:val="0"/>
                      <w:marTop w:val="0"/>
                      <w:marBottom w:val="0"/>
                      <w:divBdr>
                        <w:top w:val="none" w:sz="0" w:space="0" w:color="auto"/>
                        <w:left w:val="none" w:sz="0" w:space="0" w:color="auto"/>
                        <w:bottom w:val="none" w:sz="0" w:space="0" w:color="auto"/>
                        <w:right w:val="none" w:sz="0" w:space="0" w:color="auto"/>
                      </w:divBdr>
                      <w:divsChild>
                        <w:div w:id="1823736620">
                          <w:marLeft w:val="0"/>
                          <w:marRight w:val="0"/>
                          <w:marTop w:val="0"/>
                          <w:marBottom w:val="0"/>
                          <w:divBdr>
                            <w:top w:val="none" w:sz="0" w:space="0" w:color="auto"/>
                            <w:left w:val="none" w:sz="0" w:space="0" w:color="auto"/>
                            <w:bottom w:val="none" w:sz="0" w:space="0" w:color="auto"/>
                            <w:right w:val="none" w:sz="0" w:space="0" w:color="auto"/>
                          </w:divBdr>
                          <w:divsChild>
                            <w:div w:id="137088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2376427">
      <w:bodyDiv w:val="1"/>
      <w:marLeft w:val="0"/>
      <w:marRight w:val="0"/>
      <w:marTop w:val="0"/>
      <w:marBottom w:val="0"/>
      <w:divBdr>
        <w:top w:val="none" w:sz="0" w:space="0" w:color="auto"/>
        <w:left w:val="none" w:sz="0" w:space="0" w:color="auto"/>
        <w:bottom w:val="none" w:sz="0" w:space="0" w:color="auto"/>
        <w:right w:val="none" w:sz="0" w:space="0" w:color="auto"/>
      </w:divBdr>
    </w:div>
    <w:div w:id="538931818">
      <w:bodyDiv w:val="1"/>
      <w:marLeft w:val="0"/>
      <w:marRight w:val="0"/>
      <w:marTop w:val="0"/>
      <w:marBottom w:val="0"/>
      <w:divBdr>
        <w:top w:val="none" w:sz="0" w:space="0" w:color="auto"/>
        <w:left w:val="none" w:sz="0" w:space="0" w:color="auto"/>
        <w:bottom w:val="none" w:sz="0" w:space="0" w:color="auto"/>
        <w:right w:val="none" w:sz="0" w:space="0" w:color="auto"/>
      </w:divBdr>
    </w:div>
    <w:div w:id="553781880">
      <w:bodyDiv w:val="1"/>
      <w:marLeft w:val="0"/>
      <w:marRight w:val="0"/>
      <w:marTop w:val="0"/>
      <w:marBottom w:val="0"/>
      <w:divBdr>
        <w:top w:val="none" w:sz="0" w:space="0" w:color="auto"/>
        <w:left w:val="none" w:sz="0" w:space="0" w:color="auto"/>
        <w:bottom w:val="none" w:sz="0" w:space="0" w:color="auto"/>
        <w:right w:val="none" w:sz="0" w:space="0" w:color="auto"/>
      </w:divBdr>
    </w:div>
    <w:div w:id="810486424">
      <w:bodyDiv w:val="1"/>
      <w:marLeft w:val="0"/>
      <w:marRight w:val="0"/>
      <w:marTop w:val="0"/>
      <w:marBottom w:val="0"/>
      <w:divBdr>
        <w:top w:val="none" w:sz="0" w:space="0" w:color="auto"/>
        <w:left w:val="none" w:sz="0" w:space="0" w:color="auto"/>
        <w:bottom w:val="none" w:sz="0" w:space="0" w:color="auto"/>
        <w:right w:val="none" w:sz="0" w:space="0" w:color="auto"/>
      </w:divBdr>
    </w:div>
    <w:div w:id="981347968">
      <w:bodyDiv w:val="1"/>
      <w:marLeft w:val="0"/>
      <w:marRight w:val="0"/>
      <w:marTop w:val="0"/>
      <w:marBottom w:val="0"/>
      <w:divBdr>
        <w:top w:val="none" w:sz="0" w:space="0" w:color="auto"/>
        <w:left w:val="none" w:sz="0" w:space="0" w:color="auto"/>
        <w:bottom w:val="none" w:sz="0" w:space="0" w:color="auto"/>
        <w:right w:val="none" w:sz="0" w:space="0" w:color="auto"/>
      </w:divBdr>
    </w:div>
    <w:div w:id="1079326936">
      <w:bodyDiv w:val="1"/>
      <w:marLeft w:val="0"/>
      <w:marRight w:val="0"/>
      <w:marTop w:val="0"/>
      <w:marBottom w:val="0"/>
      <w:divBdr>
        <w:top w:val="none" w:sz="0" w:space="0" w:color="auto"/>
        <w:left w:val="none" w:sz="0" w:space="0" w:color="auto"/>
        <w:bottom w:val="none" w:sz="0" w:space="0" w:color="auto"/>
        <w:right w:val="none" w:sz="0" w:space="0" w:color="auto"/>
      </w:divBdr>
    </w:div>
    <w:div w:id="1138761380">
      <w:bodyDiv w:val="1"/>
      <w:marLeft w:val="0"/>
      <w:marRight w:val="0"/>
      <w:marTop w:val="0"/>
      <w:marBottom w:val="0"/>
      <w:divBdr>
        <w:top w:val="none" w:sz="0" w:space="0" w:color="auto"/>
        <w:left w:val="none" w:sz="0" w:space="0" w:color="auto"/>
        <w:bottom w:val="none" w:sz="0" w:space="0" w:color="auto"/>
        <w:right w:val="none" w:sz="0" w:space="0" w:color="auto"/>
      </w:divBdr>
    </w:div>
    <w:div w:id="1170098372">
      <w:bodyDiv w:val="1"/>
      <w:marLeft w:val="0"/>
      <w:marRight w:val="0"/>
      <w:marTop w:val="0"/>
      <w:marBottom w:val="0"/>
      <w:divBdr>
        <w:top w:val="none" w:sz="0" w:space="0" w:color="auto"/>
        <w:left w:val="none" w:sz="0" w:space="0" w:color="auto"/>
        <w:bottom w:val="none" w:sz="0" w:space="0" w:color="auto"/>
        <w:right w:val="none" w:sz="0" w:space="0" w:color="auto"/>
      </w:divBdr>
    </w:div>
    <w:div w:id="1182007903">
      <w:bodyDiv w:val="1"/>
      <w:marLeft w:val="0"/>
      <w:marRight w:val="0"/>
      <w:marTop w:val="0"/>
      <w:marBottom w:val="0"/>
      <w:divBdr>
        <w:top w:val="none" w:sz="0" w:space="0" w:color="auto"/>
        <w:left w:val="none" w:sz="0" w:space="0" w:color="auto"/>
        <w:bottom w:val="none" w:sz="0" w:space="0" w:color="auto"/>
        <w:right w:val="none" w:sz="0" w:space="0" w:color="auto"/>
      </w:divBdr>
    </w:div>
    <w:div w:id="1196650836">
      <w:bodyDiv w:val="1"/>
      <w:marLeft w:val="0"/>
      <w:marRight w:val="0"/>
      <w:marTop w:val="0"/>
      <w:marBottom w:val="0"/>
      <w:divBdr>
        <w:top w:val="none" w:sz="0" w:space="0" w:color="auto"/>
        <w:left w:val="none" w:sz="0" w:space="0" w:color="auto"/>
        <w:bottom w:val="none" w:sz="0" w:space="0" w:color="auto"/>
        <w:right w:val="none" w:sz="0" w:space="0" w:color="auto"/>
      </w:divBdr>
    </w:div>
    <w:div w:id="1246379195">
      <w:bodyDiv w:val="1"/>
      <w:marLeft w:val="0"/>
      <w:marRight w:val="0"/>
      <w:marTop w:val="0"/>
      <w:marBottom w:val="0"/>
      <w:divBdr>
        <w:top w:val="none" w:sz="0" w:space="0" w:color="auto"/>
        <w:left w:val="none" w:sz="0" w:space="0" w:color="auto"/>
        <w:bottom w:val="none" w:sz="0" w:space="0" w:color="auto"/>
        <w:right w:val="none" w:sz="0" w:space="0" w:color="auto"/>
      </w:divBdr>
      <w:divsChild>
        <w:div w:id="1464808540">
          <w:marLeft w:val="0"/>
          <w:marRight w:val="0"/>
          <w:marTop w:val="0"/>
          <w:marBottom w:val="0"/>
          <w:divBdr>
            <w:top w:val="none" w:sz="0" w:space="0" w:color="auto"/>
            <w:left w:val="none" w:sz="0" w:space="0" w:color="auto"/>
            <w:bottom w:val="none" w:sz="0" w:space="0" w:color="auto"/>
            <w:right w:val="none" w:sz="0" w:space="0" w:color="auto"/>
          </w:divBdr>
          <w:divsChild>
            <w:div w:id="2090030472">
              <w:marLeft w:val="0"/>
              <w:marRight w:val="0"/>
              <w:marTop w:val="0"/>
              <w:marBottom w:val="0"/>
              <w:divBdr>
                <w:top w:val="none" w:sz="0" w:space="0" w:color="auto"/>
                <w:left w:val="none" w:sz="0" w:space="0" w:color="auto"/>
                <w:bottom w:val="none" w:sz="0" w:space="0" w:color="auto"/>
                <w:right w:val="none" w:sz="0" w:space="0" w:color="auto"/>
              </w:divBdr>
              <w:divsChild>
                <w:div w:id="1513716818">
                  <w:marLeft w:val="0"/>
                  <w:marRight w:val="0"/>
                  <w:marTop w:val="0"/>
                  <w:marBottom w:val="0"/>
                  <w:divBdr>
                    <w:top w:val="none" w:sz="0" w:space="0" w:color="auto"/>
                    <w:left w:val="none" w:sz="0" w:space="0" w:color="auto"/>
                    <w:bottom w:val="none" w:sz="0" w:space="0" w:color="auto"/>
                    <w:right w:val="none" w:sz="0" w:space="0" w:color="auto"/>
                  </w:divBdr>
                  <w:divsChild>
                    <w:div w:id="764767899">
                      <w:marLeft w:val="0"/>
                      <w:marRight w:val="0"/>
                      <w:marTop w:val="0"/>
                      <w:marBottom w:val="0"/>
                      <w:divBdr>
                        <w:top w:val="none" w:sz="0" w:space="0" w:color="auto"/>
                        <w:left w:val="none" w:sz="0" w:space="0" w:color="auto"/>
                        <w:bottom w:val="none" w:sz="0" w:space="0" w:color="auto"/>
                        <w:right w:val="none" w:sz="0" w:space="0" w:color="auto"/>
                      </w:divBdr>
                      <w:divsChild>
                        <w:div w:id="1094980217">
                          <w:marLeft w:val="0"/>
                          <w:marRight w:val="0"/>
                          <w:marTop w:val="0"/>
                          <w:marBottom w:val="0"/>
                          <w:divBdr>
                            <w:top w:val="none" w:sz="0" w:space="0" w:color="auto"/>
                            <w:left w:val="none" w:sz="0" w:space="0" w:color="auto"/>
                            <w:bottom w:val="none" w:sz="0" w:space="0" w:color="auto"/>
                            <w:right w:val="none" w:sz="0" w:space="0" w:color="auto"/>
                          </w:divBdr>
                          <w:divsChild>
                            <w:div w:id="1773627341">
                              <w:marLeft w:val="0"/>
                              <w:marRight w:val="0"/>
                              <w:marTop w:val="0"/>
                              <w:marBottom w:val="0"/>
                              <w:divBdr>
                                <w:top w:val="none" w:sz="0" w:space="0" w:color="auto"/>
                                <w:left w:val="none" w:sz="0" w:space="0" w:color="auto"/>
                                <w:bottom w:val="none" w:sz="0" w:space="0" w:color="auto"/>
                                <w:right w:val="none" w:sz="0" w:space="0" w:color="auto"/>
                              </w:divBdr>
                              <w:divsChild>
                                <w:div w:id="1331837181">
                                  <w:marLeft w:val="0"/>
                                  <w:marRight w:val="0"/>
                                  <w:marTop w:val="0"/>
                                  <w:marBottom w:val="0"/>
                                  <w:divBdr>
                                    <w:top w:val="none" w:sz="0" w:space="0" w:color="auto"/>
                                    <w:left w:val="none" w:sz="0" w:space="0" w:color="auto"/>
                                    <w:bottom w:val="none" w:sz="0" w:space="0" w:color="auto"/>
                                    <w:right w:val="none" w:sz="0" w:space="0" w:color="auto"/>
                                  </w:divBdr>
                                  <w:divsChild>
                                    <w:div w:id="999308418">
                                      <w:marLeft w:val="0"/>
                                      <w:marRight w:val="34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3005187">
      <w:bodyDiv w:val="1"/>
      <w:marLeft w:val="0"/>
      <w:marRight w:val="0"/>
      <w:marTop w:val="0"/>
      <w:marBottom w:val="0"/>
      <w:divBdr>
        <w:top w:val="none" w:sz="0" w:space="0" w:color="auto"/>
        <w:left w:val="none" w:sz="0" w:space="0" w:color="auto"/>
        <w:bottom w:val="none" w:sz="0" w:space="0" w:color="auto"/>
        <w:right w:val="none" w:sz="0" w:space="0" w:color="auto"/>
      </w:divBdr>
    </w:div>
    <w:div w:id="1738743535">
      <w:bodyDiv w:val="1"/>
      <w:marLeft w:val="0"/>
      <w:marRight w:val="0"/>
      <w:marTop w:val="0"/>
      <w:marBottom w:val="0"/>
      <w:divBdr>
        <w:top w:val="none" w:sz="0" w:space="0" w:color="auto"/>
        <w:left w:val="none" w:sz="0" w:space="0" w:color="auto"/>
        <w:bottom w:val="none" w:sz="0" w:space="0" w:color="auto"/>
        <w:right w:val="none" w:sz="0" w:space="0" w:color="auto"/>
      </w:divBdr>
    </w:div>
    <w:div w:id="1895198171">
      <w:bodyDiv w:val="1"/>
      <w:marLeft w:val="0"/>
      <w:marRight w:val="0"/>
      <w:marTop w:val="0"/>
      <w:marBottom w:val="0"/>
      <w:divBdr>
        <w:top w:val="none" w:sz="0" w:space="0" w:color="auto"/>
        <w:left w:val="none" w:sz="0" w:space="0" w:color="auto"/>
        <w:bottom w:val="none" w:sz="0" w:space="0" w:color="auto"/>
        <w:right w:val="none" w:sz="0" w:space="0" w:color="auto"/>
      </w:divBdr>
    </w:div>
    <w:div w:id="2094424980">
      <w:bodyDiv w:val="1"/>
      <w:marLeft w:val="0"/>
      <w:marRight w:val="0"/>
      <w:marTop w:val="0"/>
      <w:marBottom w:val="0"/>
      <w:divBdr>
        <w:top w:val="none" w:sz="0" w:space="0" w:color="auto"/>
        <w:left w:val="none" w:sz="0" w:space="0" w:color="auto"/>
        <w:bottom w:val="none" w:sz="0" w:space="0" w:color="auto"/>
        <w:right w:val="none" w:sz="0" w:space="0" w:color="auto"/>
      </w:divBdr>
    </w:div>
    <w:div w:id="2102288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image" Target="media/image2.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hyperlink" Target="mailto:\\jon.vencil@dnvgl.com" TargetMode="Externa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6.xml"/><Relationship Id="rId29"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mailto:katiep@apexanalyticsllc.com" TargetMode="Externa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hyperlink" Target="mailto:Aaiysha.khursheed@itron.com" TargetMode="Externa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2.xml"/><Relationship Id="rId22" Type="http://schemas.openxmlformats.org/officeDocument/2006/relationships/hyperlink" Target="mailto:jeremy.battis@cpuc.ca.gov" TargetMode="External"/><Relationship Id="rId27" Type="http://schemas.openxmlformats.org/officeDocument/2006/relationships/glossaryDocument" Target="glossary/document.xml"/><Relationship Id="rId30" Type="http://schemas.microsoft.com/office/2011/relationships/people" Target="peop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842C69606FC4DE8A4838BF619E91793"/>
        <w:category>
          <w:name w:val="General"/>
          <w:gallery w:val="placeholder"/>
        </w:category>
        <w:types>
          <w:type w:val="bbPlcHdr"/>
        </w:types>
        <w:behaviors>
          <w:behavior w:val="content"/>
        </w:behaviors>
        <w:guid w:val="{33F653BC-D5C8-44D0-8BB8-C7CDFC1E1A76}"/>
      </w:docPartPr>
      <w:docPartBody>
        <w:p w:rsidR="00917C20" w:rsidRDefault="001355E4" w:rsidP="001355E4">
          <w:pPr>
            <w:pStyle w:val="8842C69606FC4DE8A4838BF619E91793"/>
          </w:pPr>
          <w:r>
            <w:rPr>
              <w:color w:val="404040" w:themeColor="text1" w:themeTint="BF"/>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notTrueType/>
    <w:pitch w:val="default"/>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5689"/>
    <w:rsid w:val="00045BBD"/>
    <w:rsid w:val="001355E4"/>
    <w:rsid w:val="00137A3C"/>
    <w:rsid w:val="00275689"/>
    <w:rsid w:val="0031741D"/>
    <w:rsid w:val="0034721A"/>
    <w:rsid w:val="003E1870"/>
    <w:rsid w:val="00413280"/>
    <w:rsid w:val="005A2D08"/>
    <w:rsid w:val="00785832"/>
    <w:rsid w:val="00917C20"/>
    <w:rsid w:val="00976377"/>
    <w:rsid w:val="00D6063F"/>
    <w:rsid w:val="00E21AE6"/>
    <w:rsid w:val="00EC27AB"/>
    <w:rsid w:val="00FB0C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3B84C0481A84B858413619C29D26899">
    <w:name w:val="43B84C0481A84B858413619C29D26899"/>
    <w:rsid w:val="00275689"/>
  </w:style>
  <w:style w:type="paragraph" w:customStyle="1" w:styleId="1B6D16B69DD2443D9BA6422326883D7A">
    <w:name w:val="1B6D16B69DD2443D9BA6422326883D7A"/>
    <w:rsid w:val="00275689"/>
  </w:style>
  <w:style w:type="paragraph" w:customStyle="1" w:styleId="180C6D82514A4E52963DA4A8CD2027DD">
    <w:name w:val="180C6D82514A4E52963DA4A8CD2027DD"/>
    <w:rsid w:val="00275689"/>
  </w:style>
  <w:style w:type="paragraph" w:customStyle="1" w:styleId="8842C69606FC4DE8A4838BF619E91793">
    <w:name w:val="8842C69606FC4DE8A4838BF619E91793"/>
    <w:rsid w:val="001355E4"/>
  </w:style>
  <w:style w:type="character" w:styleId="PlaceholderText">
    <w:name w:val="Placeholder Text"/>
    <w:basedOn w:val="DefaultParagraphFont"/>
    <w:uiPriority w:val="99"/>
    <w:semiHidden/>
    <w:rsid w:val="00E21AE6"/>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3B84C0481A84B858413619C29D26899">
    <w:name w:val="43B84C0481A84B858413619C29D26899"/>
    <w:rsid w:val="00275689"/>
  </w:style>
  <w:style w:type="paragraph" w:customStyle="1" w:styleId="1B6D16B69DD2443D9BA6422326883D7A">
    <w:name w:val="1B6D16B69DD2443D9BA6422326883D7A"/>
    <w:rsid w:val="00275689"/>
  </w:style>
  <w:style w:type="paragraph" w:customStyle="1" w:styleId="180C6D82514A4E52963DA4A8CD2027DD">
    <w:name w:val="180C6D82514A4E52963DA4A8CD2027DD"/>
    <w:rsid w:val="00275689"/>
  </w:style>
  <w:style w:type="paragraph" w:customStyle="1" w:styleId="8842C69606FC4DE8A4838BF619E91793">
    <w:name w:val="8842C69606FC4DE8A4838BF619E91793"/>
    <w:rsid w:val="001355E4"/>
  </w:style>
  <w:style w:type="character" w:styleId="PlaceholderText">
    <w:name w:val="Placeholder Text"/>
    <w:basedOn w:val="DefaultParagraphFont"/>
    <w:uiPriority w:val="99"/>
    <w:semiHidden/>
    <w:rsid w:val="00E21AE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DNV GL primary colors">
      <a:dk1>
        <a:sysClr val="windowText" lastClr="000000"/>
      </a:dk1>
      <a:lt1>
        <a:sysClr val="window" lastClr="FFFFFF"/>
      </a:lt1>
      <a:dk2>
        <a:srgbClr val="003591"/>
      </a:dk2>
      <a:lt2>
        <a:srgbClr val="FFFFFF"/>
      </a:lt2>
      <a:accent1>
        <a:srgbClr val="003591"/>
      </a:accent1>
      <a:accent2>
        <a:srgbClr val="3F9C35"/>
      </a:accent2>
      <a:accent3>
        <a:srgbClr val="99D6F0"/>
      </a:accent3>
      <a:accent4>
        <a:srgbClr val="0F204B"/>
      </a:accent4>
      <a:accent5>
        <a:srgbClr val="009FDA"/>
      </a:accent5>
      <a:accent6>
        <a:srgbClr val="E5F5FB"/>
      </a:accent6>
      <a:hlink>
        <a:srgbClr val="003591"/>
      </a:hlink>
      <a:folHlink>
        <a:srgbClr val="33B2E1"/>
      </a:folHlink>
    </a:clrScheme>
    <a:fontScheme name="DNV GL fonts">
      <a:majorFont>
        <a:latin typeface="Verdana"/>
        <a:ea typeface=""/>
        <a:cs typeface=""/>
      </a:majorFont>
      <a:minorFont>
        <a:latin typeface="Georg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757EC8C7-9DF0-4973-86C1-798BFBB072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21</Pages>
  <Words>5254</Words>
  <Characters>29952</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2013-2015 REN Impact Research Plan</vt:lpstr>
    </vt:vector>
  </TitlesOfParts>
  <Company>Microsoft</Company>
  <LinksUpToDate>false</LinksUpToDate>
  <CharactersWithSpaces>35136</CharactersWithSpaces>
  <SharedDoc>false</SharedDoc>
  <HLinks>
    <vt:vector size="114" baseType="variant">
      <vt:variant>
        <vt:i4>1114170</vt:i4>
      </vt:variant>
      <vt:variant>
        <vt:i4>110</vt:i4>
      </vt:variant>
      <vt:variant>
        <vt:i4>0</vt:i4>
      </vt:variant>
      <vt:variant>
        <vt:i4>5</vt:i4>
      </vt:variant>
      <vt:variant>
        <vt:lpwstr/>
      </vt:variant>
      <vt:variant>
        <vt:lpwstr>_Toc268005054</vt:lpwstr>
      </vt:variant>
      <vt:variant>
        <vt:i4>1114170</vt:i4>
      </vt:variant>
      <vt:variant>
        <vt:i4>104</vt:i4>
      </vt:variant>
      <vt:variant>
        <vt:i4>0</vt:i4>
      </vt:variant>
      <vt:variant>
        <vt:i4>5</vt:i4>
      </vt:variant>
      <vt:variant>
        <vt:lpwstr/>
      </vt:variant>
      <vt:variant>
        <vt:lpwstr>_Toc268005053</vt:lpwstr>
      </vt:variant>
      <vt:variant>
        <vt:i4>1114170</vt:i4>
      </vt:variant>
      <vt:variant>
        <vt:i4>98</vt:i4>
      </vt:variant>
      <vt:variant>
        <vt:i4>0</vt:i4>
      </vt:variant>
      <vt:variant>
        <vt:i4>5</vt:i4>
      </vt:variant>
      <vt:variant>
        <vt:lpwstr/>
      </vt:variant>
      <vt:variant>
        <vt:lpwstr>_Toc268005052</vt:lpwstr>
      </vt:variant>
      <vt:variant>
        <vt:i4>1114170</vt:i4>
      </vt:variant>
      <vt:variant>
        <vt:i4>92</vt:i4>
      </vt:variant>
      <vt:variant>
        <vt:i4>0</vt:i4>
      </vt:variant>
      <vt:variant>
        <vt:i4>5</vt:i4>
      </vt:variant>
      <vt:variant>
        <vt:lpwstr/>
      </vt:variant>
      <vt:variant>
        <vt:lpwstr>_Toc268005051</vt:lpwstr>
      </vt:variant>
      <vt:variant>
        <vt:i4>1114170</vt:i4>
      </vt:variant>
      <vt:variant>
        <vt:i4>86</vt:i4>
      </vt:variant>
      <vt:variant>
        <vt:i4>0</vt:i4>
      </vt:variant>
      <vt:variant>
        <vt:i4>5</vt:i4>
      </vt:variant>
      <vt:variant>
        <vt:lpwstr/>
      </vt:variant>
      <vt:variant>
        <vt:lpwstr>_Toc268005050</vt:lpwstr>
      </vt:variant>
      <vt:variant>
        <vt:i4>1048634</vt:i4>
      </vt:variant>
      <vt:variant>
        <vt:i4>80</vt:i4>
      </vt:variant>
      <vt:variant>
        <vt:i4>0</vt:i4>
      </vt:variant>
      <vt:variant>
        <vt:i4>5</vt:i4>
      </vt:variant>
      <vt:variant>
        <vt:lpwstr/>
      </vt:variant>
      <vt:variant>
        <vt:lpwstr>_Toc268005049</vt:lpwstr>
      </vt:variant>
      <vt:variant>
        <vt:i4>1048634</vt:i4>
      </vt:variant>
      <vt:variant>
        <vt:i4>74</vt:i4>
      </vt:variant>
      <vt:variant>
        <vt:i4>0</vt:i4>
      </vt:variant>
      <vt:variant>
        <vt:i4>5</vt:i4>
      </vt:variant>
      <vt:variant>
        <vt:lpwstr/>
      </vt:variant>
      <vt:variant>
        <vt:lpwstr>_Toc268005048</vt:lpwstr>
      </vt:variant>
      <vt:variant>
        <vt:i4>1048634</vt:i4>
      </vt:variant>
      <vt:variant>
        <vt:i4>68</vt:i4>
      </vt:variant>
      <vt:variant>
        <vt:i4>0</vt:i4>
      </vt:variant>
      <vt:variant>
        <vt:i4>5</vt:i4>
      </vt:variant>
      <vt:variant>
        <vt:lpwstr/>
      </vt:variant>
      <vt:variant>
        <vt:lpwstr>_Toc268005047</vt:lpwstr>
      </vt:variant>
      <vt:variant>
        <vt:i4>1048634</vt:i4>
      </vt:variant>
      <vt:variant>
        <vt:i4>62</vt:i4>
      </vt:variant>
      <vt:variant>
        <vt:i4>0</vt:i4>
      </vt:variant>
      <vt:variant>
        <vt:i4>5</vt:i4>
      </vt:variant>
      <vt:variant>
        <vt:lpwstr/>
      </vt:variant>
      <vt:variant>
        <vt:lpwstr>_Toc268005046</vt:lpwstr>
      </vt:variant>
      <vt:variant>
        <vt:i4>1048634</vt:i4>
      </vt:variant>
      <vt:variant>
        <vt:i4>56</vt:i4>
      </vt:variant>
      <vt:variant>
        <vt:i4>0</vt:i4>
      </vt:variant>
      <vt:variant>
        <vt:i4>5</vt:i4>
      </vt:variant>
      <vt:variant>
        <vt:lpwstr/>
      </vt:variant>
      <vt:variant>
        <vt:lpwstr>_Toc268005045</vt:lpwstr>
      </vt:variant>
      <vt:variant>
        <vt:i4>1048634</vt:i4>
      </vt:variant>
      <vt:variant>
        <vt:i4>50</vt:i4>
      </vt:variant>
      <vt:variant>
        <vt:i4>0</vt:i4>
      </vt:variant>
      <vt:variant>
        <vt:i4>5</vt:i4>
      </vt:variant>
      <vt:variant>
        <vt:lpwstr/>
      </vt:variant>
      <vt:variant>
        <vt:lpwstr>_Toc268005044</vt:lpwstr>
      </vt:variant>
      <vt:variant>
        <vt:i4>1048634</vt:i4>
      </vt:variant>
      <vt:variant>
        <vt:i4>44</vt:i4>
      </vt:variant>
      <vt:variant>
        <vt:i4>0</vt:i4>
      </vt:variant>
      <vt:variant>
        <vt:i4>5</vt:i4>
      </vt:variant>
      <vt:variant>
        <vt:lpwstr/>
      </vt:variant>
      <vt:variant>
        <vt:lpwstr>_Toc268005043</vt:lpwstr>
      </vt:variant>
      <vt:variant>
        <vt:i4>1048634</vt:i4>
      </vt:variant>
      <vt:variant>
        <vt:i4>38</vt:i4>
      </vt:variant>
      <vt:variant>
        <vt:i4>0</vt:i4>
      </vt:variant>
      <vt:variant>
        <vt:i4>5</vt:i4>
      </vt:variant>
      <vt:variant>
        <vt:lpwstr/>
      </vt:variant>
      <vt:variant>
        <vt:lpwstr>_Toc268005042</vt:lpwstr>
      </vt:variant>
      <vt:variant>
        <vt:i4>1048634</vt:i4>
      </vt:variant>
      <vt:variant>
        <vt:i4>32</vt:i4>
      </vt:variant>
      <vt:variant>
        <vt:i4>0</vt:i4>
      </vt:variant>
      <vt:variant>
        <vt:i4>5</vt:i4>
      </vt:variant>
      <vt:variant>
        <vt:lpwstr/>
      </vt:variant>
      <vt:variant>
        <vt:lpwstr>_Toc268005041</vt:lpwstr>
      </vt:variant>
      <vt:variant>
        <vt:i4>1048634</vt:i4>
      </vt:variant>
      <vt:variant>
        <vt:i4>26</vt:i4>
      </vt:variant>
      <vt:variant>
        <vt:i4>0</vt:i4>
      </vt:variant>
      <vt:variant>
        <vt:i4>5</vt:i4>
      </vt:variant>
      <vt:variant>
        <vt:lpwstr/>
      </vt:variant>
      <vt:variant>
        <vt:lpwstr>_Toc268005040</vt:lpwstr>
      </vt:variant>
      <vt:variant>
        <vt:i4>1507386</vt:i4>
      </vt:variant>
      <vt:variant>
        <vt:i4>20</vt:i4>
      </vt:variant>
      <vt:variant>
        <vt:i4>0</vt:i4>
      </vt:variant>
      <vt:variant>
        <vt:i4>5</vt:i4>
      </vt:variant>
      <vt:variant>
        <vt:lpwstr/>
      </vt:variant>
      <vt:variant>
        <vt:lpwstr>_Toc268005039</vt:lpwstr>
      </vt:variant>
      <vt:variant>
        <vt:i4>1507386</vt:i4>
      </vt:variant>
      <vt:variant>
        <vt:i4>14</vt:i4>
      </vt:variant>
      <vt:variant>
        <vt:i4>0</vt:i4>
      </vt:variant>
      <vt:variant>
        <vt:i4>5</vt:i4>
      </vt:variant>
      <vt:variant>
        <vt:lpwstr/>
      </vt:variant>
      <vt:variant>
        <vt:lpwstr>_Toc268005038</vt:lpwstr>
      </vt:variant>
      <vt:variant>
        <vt:i4>1507386</vt:i4>
      </vt:variant>
      <vt:variant>
        <vt:i4>8</vt:i4>
      </vt:variant>
      <vt:variant>
        <vt:i4>0</vt:i4>
      </vt:variant>
      <vt:variant>
        <vt:i4>5</vt:i4>
      </vt:variant>
      <vt:variant>
        <vt:lpwstr/>
      </vt:variant>
      <vt:variant>
        <vt:lpwstr>_Toc268005037</vt:lpwstr>
      </vt:variant>
      <vt:variant>
        <vt:i4>1507386</vt:i4>
      </vt:variant>
      <vt:variant>
        <vt:i4>2</vt:i4>
      </vt:variant>
      <vt:variant>
        <vt:i4>0</vt:i4>
      </vt:variant>
      <vt:variant>
        <vt:i4>5</vt:i4>
      </vt:variant>
      <vt:variant>
        <vt:lpwstr/>
      </vt:variant>
      <vt:variant>
        <vt:lpwstr>_Toc268005036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2013-2015 REN Impact Research Plan</dc:title>
  <dc:creator>Apex</dc:creator>
  <cp:lastModifiedBy>Battis, Jeremy</cp:lastModifiedBy>
  <cp:revision>2</cp:revision>
  <dcterms:created xsi:type="dcterms:W3CDTF">2016-07-16T00:44:00Z</dcterms:created>
  <dcterms:modified xsi:type="dcterms:W3CDTF">2016-07-16T00:44:00Z</dcterms:modified>
</cp:coreProperties>
</file>